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A4" w:rsidRDefault="00A067FC">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兖煤矿业工程有限公司</w:t>
      </w:r>
    </w:p>
    <w:p w:rsidR="00DE67A4" w:rsidRDefault="00A067FC">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sz w:val="44"/>
          <w:szCs w:val="44"/>
        </w:rPr>
        <w:t>1</w:t>
      </w:r>
      <w:r>
        <w:rPr>
          <w:rFonts w:ascii="方正小标宋简体" w:eastAsia="方正小标宋简体" w:hint="eastAsia"/>
          <w:sz w:val="44"/>
          <w:szCs w:val="44"/>
        </w:rPr>
        <w:t>年上半年信息公告</w:t>
      </w:r>
    </w:p>
    <w:p w:rsidR="00DE67A4" w:rsidRDefault="00DE67A4" w:rsidP="006247E4">
      <w:pPr>
        <w:ind w:firstLine="421"/>
      </w:pPr>
    </w:p>
    <w:p w:rsidR="006247E4" w:rsidRDefault="006247E4" w:rsidP="006247E4">
      <w:pPr>
        <w:autoSpaceDE w:val="0"/>
        <w:autoSpaceDN w:val="0"/>
        <w:adjustRightInd w:val="0"/>
        <w:ind w:firstLine="641"/>
        <w:jc w:val="left"/>
        <w:rPr>
          <w:rFonts w:ascii="仿宋_GB2312" w:eastAsia="仿宋_GB2312" w:hAnsi="Calibri"/>
          <w:sz w:val="32"/>
          <w:szCs w:val="32"/>
        </w:rPr>
      </w:pPr>
    </w:p>
    <w:p w:rsidR="00DE67A4" w:rsidRDefault="00A067FC" w:rsidP="006247E4">
      <w:pPr>
        <w:autoSpaceDE w:val="0"/>
        <w:autoSpaceDN w:val="0"/>
        <w:adjustRightInd w:val="0"/>
        <w:ind w:firstLine="641"/>
        <w:jc w:val="left"/>
        <w:rPr>
          <w:rFonts w:ascii="黑体" w:eastAsia="黑体" w:hAnsi="黑体" w:cs="黑体"/>
          <w:kern w:val="0"/>
          <w:sz w:val="32"/>
          <w:szCs w:val="32"/>
        </w:rPr>
      </w:pPr>
      <w:r>
        <w:rPr>
          <w:rFonts w:ascii="黑体" w:eastAsia="黑体" w:hAnsi="黑体" w:hint="eastAsia"/>
          <w:sz w:val="32"/>
          <w:szCs w:val="32"/>
        </w:rPr>
        <w:t>一、</w:t>
      </w:r>
      <w:r>
        <w:rPr>
          <w:rFonts w:ascii="黑体" w:eastAsia="黑体" w:hAnsi="黑体" w:cs="黑体" w:hint="eastAsia"/>
          <w:kern w:val="0"/>
          <w:sz w:val="32"/>
          <w:szCs w:val="32"/>
        </w:rPr>
        <w:t>企业信用信息公示</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公司名称：兖煤矿业工程有限公司</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统一社会信用代码：</w:t>
      </w:r>
      <w:r>
        <w:rPr>
          <w:rFonts w:ascii="仿宋_GB2312" w:eastAsia="仿宋_GB2312" w:hAnsi="Calibri"/>
          <w:sz w:val="32"/>
          <w:szCs w:val="32"/>
        </w:rPr>
        <w:t>91370800MA3CKPGN0D</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类型：有限责任公司（</w:t>
      </w:r>
      <w:r>
        <w:rPr>
          <w:rFonts w:ascii="仿宋_GB2312" w:eastAsia="仿宋_GB2312" w:hAnsi="Calibri"/>
          <w:sz w:val="32"/>
          <w:szCs w:val="32"/>
        </w:rPr>
        <w:t>非自然人投资或控股的法人独资</w:t>
      </w:r>
      <w:r>
        <w:rPr>
          <w:rFonts w:ascii="仿宋_GB2312" w:eastAsia="仿宋_GB2312" w:hAnsi="Calibri" w:hint="eastAsia"/>
          <w:sz w:val="32"/>
          <w:szCs w:val="32"/>
        </w:rPr>
        <w:t>）</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法定代表人：杨兴廷</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成立日期：</w:t>
      </w:r>
      <w:r>
        <w:rPr>
          <w:rFonts w:ascii="仿宋_GB2312" w:eastAsia="仿宋_GB2312" w:hAnsi="Calibri"/>
          <w:sz w:val="32"/>
          <w:szCs w:val="32"/>
        </w:rPr>
        <w:t>2016</w:t>
      </w:r>
      <w:r>
        <w:rPr>
          <w:rFonts w:ascii="仿宋_GB2312" w:eastAsia="仿宋_GB2312" w:hAnsi="Calibri" w:hint="eastAsia"/>
          <w:sz w:val="32"/>
          <w:szCs w:val="32"/>
        </w:rPr>
        <w:t>年</w:t>
      </w:r>
      <w:r>
        <w:rPr>
          <w:rFonts w:ascii="仿宋_GB2312" w:eastAsia="仿宋_GB2312" w:hAnsi="Calibri"/>
          <w:sz w:val="32"/>
          <w:szCs w:val="32"/>
        </w:rPr>
        <w:t>11</w:t>
      </w:r>
      <w:r>
        <w:rPr>
          <w:rFonts w:ascii="仿宋_GB2312" w:eastAsia="仿宋_GB2312" w:hAnsi="Calibri" w:hint="eastAsia"/>
          <w:sz w:val="32"/>
          <w:szCs w:val="32"/>
        </w:rPr>
        <w:t>月</w:t>
      </w:r>
      <w:r>
        <w:rPr>
          <w:rFonts w:ascii="仿宋_GB2312" w:eastAsia="仿宋_GB2312" w:hAnsi="Calibri"/>
          <w:sz w:val="32"/>
          <w:szCs w:val="32"/>
        </w:rPr>
        <w:t>1</w:t>
      </w:r>
      <w:r>
        <w:rPr>
          <w:rFonts w:ascii="仿宋_GB2312" w:eastAsia="仿宋_GB2312" w:hAnsi="Calibri" w:hint="eastAsia"/>
          <w:sz w:val="32"/>
          <w:szCs w:val="32"/>
        </w:rPr>
        <w:t>日</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注册资本：</w:t>
      </w:r>
      <w:r>
        <w:rPr>
          <w:rFonts w:ascii="仿宋_GB2312" w:eastAsia="仿宋_GB2312" w:hAnsi="Calibri"/>
          <w:sz w:val="32"/>
          <w:szCs w:val="32"/>
        </w:rPr>
        <w:t>5000</w:t>
      </w:r>
      <w:r>
        <w:rPr>
          <w:rFonts w:ascii="仿宋_GB2312" w:eastAsia="仿宋_GB2312" w:hAnsi="Calibri" w:hint="eastAsia"/>
          <w:sz w:val="32"/>
          <w:szCs w:val="32"/>
        </w:rPr>
        <w:t>万元</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住所：山东省邹城市北宿镇共建路</w:t>
      </w:r>
      <w:r>
        <w:rPr>
          <w:rFonts w:ascii="仿宋_GB2312" w:eastAsia="仿宋_GB2312" w:hAnsi="Calibri"/>
          <w:sz w:val="32"/>
          <w:szCs w:val="32"/>
        </w:rPr>
        <w:t>16号</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经营范围：矿山工程施工总承包，机电工程施工总承包；市政工程、园林工程；采掘设备的技术开发、技术转让、技术咨询、技术服务；矿山机电设备销售、租赁、维修、安装、拆除；普通劳保用品、办公用品的销售；通用机械设备的租赁；煤矿综合科学技术服务；施工劳务；劳务派遣。（依法须经批准的项目，经相关部门批准后方可开展经营活动）</w:t>
      </w:r>
    </w:p>
    <w:p w:rsidR="00DE67A4" w:rsidRDefault="00A067FC" w:rsidP="006247E4">
      <w:pPr>
        <w:autoSpaceDE w:val="0"/>
        <w:autoSpaceDN w:val="0"/>
        <w:adjustRightInd w:val="0"/>
        <w:ind w:firstLine="641"/>
        <w:rPr>
          <w:rFonts w:ascii="黑体" w:eastAsia="黑体" w:hAnsi="黑体" w:cs="黑体"/>
          <w:kern w:val="0"/>
          <w:sz w:val="32"/>
          <w:szCs w:val="32"/>
        </w:rPr>
      </w:pPr>
      <w:r>
        <w:rPr>
          <w:rFonts w:ascii="黑体" w:eastAsia="黑体" w:hAnsi="黑体" w:cs="黑体" w:hint="eastAsia"/>
          <w:kern w:val="0"/>
          <w:sz w:val="32"/>
          <w:szCs w:val="32"/>
        </w:rPr>
        <w:t>二、公司治理及管理架构</w:t>
      </w:r>
    </w:p>
    <w:p w:rsidR="00DE67A4" w:rsidRDefault="00A067FC" w:rsidP="006247E4">
      <w:pPr>
        <w:tabs>
          <w:tab w:val="left" w:pos="749"/>
        </w:tabs>
        <w:spacing w:line="560" w:lineRule="exact"/>
        <w:ind w:firstLine="641"/>
        <w:rPr>
          <w:rFonts w:ascii="仿宋_GB2312" w:eastAsia="仿宋_GB2312" w:hAnsi="Calibri"/>
          <w:sz w:val="32"/>
          <w:szCs w:val="32"/>
        </w:rPr>
      </w:pPr>
      <w:r>
        <w:rPr>
          <w:rFonts w:ascii="仿宋_GB2312" w:eastAsia="仿宋_GB2312" w:hAnsi="Calibri" w:hint="eastAsia"/>
          <w:sz w:val="32"/>
          <w:szCs w:val="32"/>
        </w:rPr>
        <w:t>股东及出资信息：</w:t>
      </w:r>
      <w:r>
        <w:rPr>
          <w:rFonts w:ascii="仿宋_GB2312" w:eastAsia="仿宋_GB2312" w:hAnsi="宋体" w:hint="eastAsia"/>
          <w:sz w:val="32"/>
          <w:szCs w:val="32"/>
        </w:rPr>
        <w:t>兖煤矿业工程有限公司</w:t>
      </w:r>
      <w:r>
        <w:rPr>
          <w:rFonts w:ascii="仿宋_GB2312" w:eastAsia="仿宋_GB2312" w:hAnsi="宋体"/>
          <w:sz w:val="32"/>
          <w:szCs w:val="32"/>
        </w:rPr>
        <w:t>注册资本</w:t>
      </w:r>
      <w:r>
        <w:rPr>
          <w:rFonts w:ascii="仿宋_GB2312" w:eastAsia="仿宋_GB2312" w:hAnsi="宋体" w:hint="eastAsia"/>
          <w:sz w:val="32"/>
          <w:szCs w:val="32"/>
        </w:rPr>
        <w:t>5000</w:t>
      </w:r>
      <w:r>
        <w:rPr>
          <w:rFonts w:ascii="仿宋_GB2312" w:eastAsia="仿宋_GB2312" w:hAnsi="宋体"/>
          <w:sz w:val="32"/>
          <w:szCs w:val="32"/>
        </w:rPr>
        <w:t>万元，其中</w:t>
      </w:r>
      <w:r>
        <w:rPr>
          <w:rFonts w:ascii="仿宋_GB2312" w:eastAsia="仿宋_GB2312" w:hAnsi="Calibri" w:hint="eastAsia"/>
          <w:sz w:val="32"/>
          <w:szCs w:val="32"/>
        </w:rPr>
        <w:t>：兖州煤业股份有限公司出资5000万元，为兖州煤业股份有限公司百分之百控股。</w:t>
      </w:r>
    </w:p>
    <w:p w:rsidR="00DE67A4" w:rsidRDefault="00A067FC" w:rsidP="006247E4">
      <w:pPr>
        <w:tabs>
          <w:tab w:val="left" w:pos="749"/>
        </w:tabs>
        <w:spacing w:line="560" w:lineRule="exact"/>
        <w:ind w:firstLine="641"/>
        <w:rPr>
          <w:rFonts w:ascii="仿宋_GB2312" w:eastAsia="仿宋_GB2312" w:hAnsi="宋体"/>
          <w:sz w:val="32"/>
          <w:szCs w:val="32"/>
        </w:rPr>
      </w:pPr>
      <w:r>
        <w:rPr>
          <w:rFonts w:ascii="仿宋_GB2312" w:eastAsia="仿宋_GB2312" w:hAnsi="宋体"/>
          <w:sz w:val="32"/>
          <w:szCs w:val="32"/>
        </w:rPr>
        <w:t>股权结构图如下：</w:t>
      </w:r>
    </w:p>
    <w:tbl>
      <w:tblPr>
        <w:tblW w:w="9209" w:type="dxa"/>
        <w:jc w:val="center"/>
        <w:tblBorders>
          <w:top w:val="single" w:sz="4" w:space="0" w:color="auto"/>
          <w:bottom w:val="single" w:sz="4" w:space="0" w:color="auto"/>
          <w:insideH w:val="dotted" w:sz="4" w:space="0" w:color="auto"/>
          <w:insideV w:val="single" w:sz="4" w:space="0" w:color="auto"/>
        </w:tblBorders>
        <w:tblLook w:val="04A0"/>
      </w:tblPr>
      <w:tblGrid>
        <w:gridCol w:w="760"/>
        <w:gridCol w:w="3181"/>
        <w:gridCol w:w="2429"/>
        <w:gridCol w:w="2839"/>
      </w:tblGrid>
      <w:tr w:rsidR="00DE67A4">
        <w:trPr>
          <w:trHeight w:val="753"/>
          <w:jc w:val="center"/>
        </w:trPr>
        <w:tc>
          <w:tcPr>
            <w:tcW w:w="760" w:type="dxa"/>
            <w:shd w:val="clear" w:color="auto" w:fill="auto"/>
            <w:vAlign w:val="center"/>
          </w:tcPr>
          <w:p w:rsidR="00DE67A4" w:rsidRDefault="00A067FC">
            <w:pPr>
              <w:widowControl/>
              <w:ind w:firstLineChars="0" w:firstLine="0"/>
              <w:rPr>
                <w:rFonts w:ascii="仿宋_GB2312" w:eastAsia="仿宋_GB2312" w:hAnsi="等线" w:cs="宋体"/>
                <w:color w:val="000000"/>
                <w:kern w:val="0"/>
                <w:sz w:val="24"/>
              </w:rPr>
            </w:pPr>
            <w:r>
              <w:rPr>
                <w:rFonts w:ascii="仿宋_GB2312" w:eastAsia="仿宋_GB2312" w:hAnsi="等线" w:cs="宋体" w:hint="eastAsia"/>
                <w:color w:val="000000"/>
                <w:kern w:val="0"/>
                <w:sz w:val="24"/>
              </w:rPr>
              <w:lastRenderedPageBreak/>
              <w:t>序号</w:t>
            </w:r>
          </w:p>
        </w:tc>
        <w:tc>
          <w:tcPr>
            <w:tcW w:w="3181" w:type="dxa"/>
            <w:shd w:val="clear" w:color="auto" w:fill="auto"/>
            <w:vAlign w:val="center"/>
          </w:tcPr>
          <w:p w:rsidR="00DE67A4" w:rsidRDefault="00A067FC">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投资者名称</w:t>
            </w:r>
          </w:p>
        </w:tc>
        <w:tc>
          <w:tcPr>
            <w:tcW w:w="2429" w:type="dxa"/>
            <w:shd w:val="clear" w:color="auto" w:fill="auto"/>
            <w:vAlign w:val="center"/>
          </w:tcPr>
          <w:p w:rsidR="00DE67A4" w:rsidRDefault="00A067FC">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投资金额（万元）</w:t>
            </w:r>
          </w:p>
        </w:tc>
        <w:tc>
          <w:tcPr>
            <w:tcW w:w="2839" w:type="dxa"/>
            <w:shd w:val="clear" w:color="auto" w:fill="auto"/>
            <w:vAlign w:val="center"/>
          </w:tcPr>
          <w:p w:rsidR="00DE67A4" w:rsidRDefault="00A067FC">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持股比例（100%)</w:t>
            </w:r>
          </w:p>
        </w:tc>
      </w:tr>
      <w:tr w:rsidR="00DE67A4">
        <w:trPr>
          <w:trHeight w:val="444"/>
          <w:jc w:val="center"/>
        </w:trPr>
        <w:tc>
          <w:tcPr>
            <w:tcW w:w="760" w:type="dxa"/>
            <w:shd w:val="clear" w:color="auto" w:fill="auto"/>
            <w:vAlign w:val="center"/>
          </w:tcPr>
          <w:p w:rsidR="00DE67A4" w:rsidRDefault="00A067FC" w:rsidP="006247E4">
            <w:pPr>
              <w:widowControl/>
              <w:ind w:firstLine="481"/>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1</w:t>
            </w:r>
          </w:p>
        </w:tc>
        <w:tc>
          <w:tcPr>
            <w:tcW w:w="3181" w:type="dxa"/>
            <w:shd w:val="clear" w:color="auto" w:fill="auto"/>
            <w:vAlign w:val="center"/>
          </w:tcPr>
          <w:p w:rsidR="00DE67A4" w:rsidRDefault="00A067FC">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兖州煤业股份有限公司</w:t>
            </w:r>
          </w:p>
        </w:tc>
        <w:tc>
          <w:tcPr>
            <w:tcW w:w="2429" w:type="dxa"/>
            <w:shd w:val="clear" w:color="auto" w:fill="auto"/>
            <w:vAlign w:val="center"/>
          </w:tcPr>
          <w:p w:rsidR="00DE67A4" w:rsidRDefault="00A067FC" w:rsidP="006247E4">
            <w:pPr>
              <w:widowControl/>
              <w:ind w:firstLine="481"/>
              <w:jc w:val="center"/>
              <w:rPr>
                <w:rFonts w:ascii="仿宋_GB2312" w:eastAsia="仿宋_GB2312" w:hAnsi="等线" w:cs="宋体"/>
                <w:color w:val="000000"/>
                <w:kern w:val="0"/>
                <w:sz w:val="24"/>
              </w:rPr>
            </w:pPr>
            <w:r>
              <w:rPr>
                <w:rFonts w:ascii="仿宋_GB2312" w:eastAsia="仿宋_GB2312" w:hAnsi="等线" w:cs="宋体"/>
                <w:color w:val="000000"/>
                <w:kern w:val="0"/>
                <w:sz w:val="24"/>
              </w:rPr>
              <w:t>5000</w:t>
            </w:r>
          </w:p>
        </w:tc>
        <w:tc>
          <w:tcPr>
            <w:tcW w:w="2839" w:type="dxa"/>
            <w:shd w:val="clear" w:color="auto" w:fill="auto"/>
            <w:vAlign w:val="center"/>
          </w:tcPr>
          <w:p w:rsidR="00DE67A4" w:rsidRDefault="00A067FC" w:rsidP="006247E4">
            <w:pPr>
              <w:widowControl/>
              <w:ind w:firstLine="481"/>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100%</w:t>
            </w:r>
          </w:p>
        </w:tc>
      </w:tr>
      <w:tr w:rsidR="00DE67A4">
        <w:trPr>
          <w:trHeight w:val="444"/>
          <w:jc w:val="center"/>
        </w:trPr>
        <w:tc>
          <w:tcPr>
            <w:tcW w:w="760" w:type="dxa"/>
            <w:shd w:val="clear" w:color="auto" w:fill="auto"/>
            <w:vAlign w:val="center"/>
          </w:tcPr>
          <w:p w:rsidR="00DE67A4" w:rsidRDefault="00A067FC" w:rsidP="006247E4">
            <w:pPr>
              <w:widowControl/>
              <w:ind w:firstLine="481"/>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 xml:space="preserve">　</w:t>
            </w:r>
          </w:p>
        </w:tc>
        <w:tc>
          <w:tcPr>
            <w:tcW w:w="3181" w:type="dxa"/>
            <w:shd w:val="clear" w:color="auto" w:fill="auto"/>
            <w:vAlign w:val="center"/>
          </w:tcPr>
          <w:p w:rsidR="00DE67A4" w:rsidRDefault="00A067FC">
            <w:pPr>
              <w:widowControl/>
              <w:ind w:firstLineChars="0" w:firstLine="0"/>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合计</w:t>
            </w:r>
          </w:p>
        </w:tc>
        <w:tc>
          <w:tcPr>
            <w:tcW w:w="2429" w:type="dxa"/>
            <w:shd w:val="clear" w:color="auto" w:fill="auto"/>
            <w:vAlign w:val="center"/>
          </w:tcPr>
          <w:p w:rsidR="00DE67A4" w:rsidRDefault="00A067FC" w:rsidP="006247E4">
            <w:pPr>
              <w:widowControl/>
              <w:ind w:firstLine="481"/>
              <w:jc w:val="center"/>
              <w:rPr>
                <w:rFonts w:ascii="仿宋_GB2312" w:eastAsia="仿宋_GB2312" w:hAnsi="等线" w:cs="宋体"/>
                <w:color w:val="000000"/>
                <w:kern w:val="0"/>
                <w:sz w:val="24"/>
              </w:rPr>
            </w:pPr>
            <w:r>
              <w:rPr>
                <w:rFonts w:ascii="仿宋_GB2312" w:eastAsia="仿宋_GB2312" w:hAnsi="等线" w:cs="宋体"/>
                <w:color w:val="000000"/>
                <w:kern w:val="0"/>
                <w:sz w:val="24"/>
              </w:rPr>
              <w:t>5000</w:t>
            </w:r>
          </w:p>
        </w:tc>
        <w:tc>
          <w:tcPr>
            <w:tcW w:w="2839" w:type="dxa"/>
            <w:shd w:val="clear" w:color="auto" w:fill="auto"/>
            <w:vAlign w:val="center"/>
          </w:tcPr>
          <w:p w:rsidR="00DE67A4" w:rsidRDefault="00A067FC" w:rsidP="006247E4">
            <w:pPr>
              <w:widowControl/>
              <w:ind w:firstLine="481"/>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100%</w:t>
            </w:r>
          </w:p>
        </w:tc>
      </w:tr>
    </w:tbl>
    <w:p w:rsidR="00DE67A4" w:rsidRDefault="00A067FC" w:rsidP="006247E4">
      <w:pPr>
        <w:adjustRightInd w:val="0"/>
        <w:snapToGrid w:val="0"/>
        <w:spacing w:line="560" w:lineRule="exact"/>
        <w:ind w:firstLine="641"/>
        <w:jc w:val="left"/>
        <w:rPr>
          <w:rFonts w:ascii="仿宋_GB2312" w:eastAsia="仿宋_GB2312" w:hAnsi="宋体"/>
          <w:sz w:val="32"/>
          <w:szCs w:val="32"/>
        </w:rPr>
      </w:pPr>
      <w:r>
        <w:rPr>
          <w:rFonts w:ascii="仿宋_GB2312" w:eastAsia="仿宋_GB2312" w:hAnsi="宋体" w:hint="eastAsia"/>
          <w:sz w:val="32"/>
          <w:szCs w:val="32"/>
        </w:rPr>
        <w:t>公司不设董事会，设执行董事一人，由股东委派，任公司法定代表人。公司不设监事会，设监事一人，由股东委派。执行董事、监事对公司股东负责。</w:t>
      </w:r>
    </w:p>
    <w:p w:rsidR="00DE67A4" w:rsidRDefault="00A067FC" w:rsidP="006247E4">
      <w:pPr>
        <w:adjustRightInd w:val="0"/>
        <w:snapToGrid w:val="0"/>
        <w:spacing w:line="560" w:lineRule="exact"/>
        <w:ind w:firstLine="641"/>
        <w:jc w:val="left"/>
        <w:rPr>
          <w:rFonts w:ascii="仿宋_GB2312" w:eastAsia="仿宋_GB2312" w:hAnsi="宋体"/>
          <w:sz w:val="32"/>
          <w:szCs w:val="32"/>
        </w:rPr>
      </w:pPr>
      <w:r>
        <w:rPr>
          <w:rFonts w:ascii="仿宋_GB2312" w:eastAsia="仿宋_GB2312" w:hAnsi="宋体" w:hint="eastAsia"/>
          <w:sz w:val="32"/>
          <w:szCs w:val="32"/>
        </w:rPr>
        <w:t>公司设立中共兖煤矿业工程有限公司委员会和中共兖煤矿业工程有限公司纪律检查委员会，建立党的工作机构，配备党务工作人员。公司党委书记、副书记、委员和公司纪委书记人选按照人事管理权限审批。公司党委按照有关规定，结合公司实际情况逐级建立健全党的基层组织，开展党的活动；公司党委按照《中国共产党基层组织选举工作暂行条例》定期进行换届选举。</w:t>
      </w:r>
    </w:p>
    <w:p w:rsidR="00DE67A4" w:rsidRDefault="00A067FC" w:rsidP="006247E4">
      <w:pPr>
        <w:adjustRightInd w:val="0"/>
        <w:snapToGrid w:val="0"/>
        <w:spacing w:line="560" w:lineRule="exact"/>
        <w:ind w:firstLine="641"/>
        <w:jc w:val="left"/>
        <w:rPr>
          <w:rFonts w:ascii="宋体" w:hAnsi="宋体"/>
          <w:sz w:val="30"/>
          <w:szCs w:val="30"/>
        </w:rPr>
      </w:pPr>
      <w:r>
        <w:rPr>
          <w:rFonts w:ascii="仿宋_GB2312" w:eastAsia="仿宋_GB2312" w:hAnsi="宋体" w:hint="eastAsia"/>
          <w:sz w:val="32"/>
          <w:szCs w:val="32"/>
        </w:rPr>
        <w:t>公司下设8个机关部室、1个陕蒙工程部、</w:t>
      </w:r>
      <w:r>
        <w:rPr>
          <w:rFonts w:ascii="仿宋_GB2312" w:eastAsia="仿宋_GB2312" w:hAnsi="宋体"/>
          <w:sz w:val="32"/>
          <w:szCs w:val="32"/>
        </w:rPr>
        <w:t>11</w:t>
      </w:r>
      <w:r>
        <w:rPr>
          <w:rFonts w:ascii="仿宋_GB2312" w:eastAsia="仿宋_GB2312" w:hAnsi="宋体" w:hint="eastAsia"/>
          <w:sz w:val="32"/>
          <w:szCs w:val="32"/>
        </w:rPr>
        <w:t>个生产区队，现有矿山工程施工总承包贰级资质和机电工程施工总承包叁级资质。</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执行董事：杨兴廷</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监事：徐健</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公司领导：</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杨兴廷 党委副书记、总经理</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王永科 党委书记</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张 佳 党委副书记、纪委书记、工会主席</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张 建 总工程师、副总经理</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lastRenderedPageBreak/>
        <w:t>董福刚 安全总监、副总经理</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朱 森 副总经理</w:t>
      </w:r>
    </w:p>
    <w:p w:rsidR="00DE67A4" w:rsidRDefault="00A067FC" w:rsidP="006247E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胡良奇 副总经理</w:t>
      </w:r>
    </w:p>
    <w:p w:rsidR="00DE67A4" w:rsidRDefault="00A067FC" w:rsidP="006247E4">
      <w:pPr>
        <w:tabs>
          <w:tab w:val="left" w:pos="749"/>
        </w:tabs>
        <w:spacing w:line="560" w:lineRule="exact"/>
        <w:ind w:firstLine="641"/>
        <w:rPr>
          <w:rFonts w:ascii="仿宋_GB2312" w:eastAsia="仿宋_GB2312" w:hAnsi="宋体"/>
          <w:sz w:val="32"/>
          <w:szCs w:val="32"/>
        </w:rPr>
      </w:pPr>
      <w:r>
        <w:rPr>
          <w:rFonts w:ascii="仿宋_GB2312" w:eastAsia="仿宋_GB2312" w:hAnsi="宋体" w:hint="eastAsia"/>
          <w:sz w:val="32"/>
          <w:szCs w:val="32"/>
        </w:rPr>
        <w:t>公司宗旨：坚持以人为本原则，落实科学发展观，创新经营机制，以科技为支撑，以创新为动力，向质量求生存，实施品牌战略，构造质量、安全、高效、环保一体化的管理体系，增强发展活力，依法经营，诚实守信，树立企业形象，注重经营业绩，维护股东权益，满足客户需求，关注职工及相关方利益，实现国有资产保值增值。</w:t>
      </w:r>
    </w:p>
    <w:p w:rsidR="00DE67A4" w:rsidRDefault="00A067FC" w:rsidP="006247E4">
      <w:pPr>
        <w:widowControl/>
        <w:ind w:firstLine="641"/>
        <w:jc w:val="left"/>
        <w:rPr>
          <w:rFonts w:ascii="黑体" w:eastAsia="黑体" w:hAnsi="黑体"/>
          <w:sz w:val="32"/>
          <w:szCs w:val="32"/>
        </w:rPr>
      </w:pPr>
      <w:r>
        <w:rPr>
          <w:rFonts w:ascii="黑体" w:eastAsia="黑体" w:hAnsi="黑体" w:hint="eastAsia"/>
          <w:sz w:val="32"/>
          <w:szCs w:val="32"/>
        </w:rPr>
        <w:t>三、</w:t>
      </w:r>
      <w:r>
        <w:rPr>
          <w:rFonts w:ascii="黑体" w:eastAsia="黑体" w:hAnsi="黑体" w:cs="黑体" w:hint="eastAsia"/>
          <w:kern w:val="0"/>
          <w:sz w:val="32"/>
          <w:szCs w:val="32"/>
        </w:rPr>
        <w:t>通过产权市场转让企业产权和企业增资等信息：</w:t>
      </w:r>
      <w:r>
        <w:rPr>
          <w:rFonts w:ascii="仿宋_GB2312" w:eastAsia="仿宋_GB2312" w:hAnsi="宋体" w:hint="eastAsia"/>
          <w:sz w:val="32"/>
          <w:szCs w:val="32"/>
        </w:rPr>
        <w:t>无</w:t>
      </w:r>
    </w:p>
    <w:p w:rsidR="00DE67A4" w:rsidRDefault="00A067FC" w:rsidP="006247E4">
      <w:pPr>
        <w:widowControl/>
        <w:ind w:firstLine="641"/>
        <w:jc w:val="left"/>
        <w:rPr>
          <w:rFonts w:ascii="黑体" w:eastAsia="黑体" w:hAnsi="黑体" w:cs="黑体"/>
          <w:kern w:val="0"/>
          <w:sz w:val="32"/>
          <w:szCs w:val="32"/>
        </w:rPr>
      </w:pPr>
      <w:r>
        <w:rPr>
          <w:rFonts w:ascii="黑体" w:eastAsia="黑体" w:hAnsi="黑体" w:cs="黑体" w:hint="eastAsia"/>
          <w:kern w:val="0"/>
          <w:sz w:val="32"/>
          <w:szCs w:val="32"/>
        </w:rPr>
        <w:t>四、公司财务审计报告</w:t>
      </w:r>
    </w:p>
    <w:p w:rsidR="00DE67A4" w:rsidRPr="00E31244" w:rsidRDefault="00E31244" w:rsidP="00E31244">
      <w:pPr>
        <w:spacing w:line="560" w:lineRule="exact"/>
        <w:ind w:firstLine="641"/>
        <w:rPr>
          <w:rFonts w:ascii="仿宋_GB2312" w:eastAsia="仿宋_GB2312" w:hAnsi="Calibri"/>
          <w:sz w:val="32"/>
          <w:szCs w:val="32"/>
        </w:rPr>
      </w:pPr>
      <w:r>
        <w:rPr>
          <w:rFonts w:ascii="仿宋_GB2312" w:eastAsia="仿宋_GB2312" w:hAnsi="Calibri" w:hint="eastAsia"/>
          <w:sz w:val="32"/>
          <w:szCs w:val="32"/>
        </w:rPr>
        <w:t>根据公司经营需要及工作安排，2021年上半年</w:t>
      </w:r>
      <w:r w:rsidR="00A067FC">
        <w:rPr>
          <w:rFonts w:ascii="仿宋_GB2312" w:eastAsia="仿宋_GB2312" w:hAnsi="Calibri" w:hint="eastAsia"/>
          <w:sz w:val="32"/>
          <w:szCs w:val="32"/>
        </w:rPr>
        <w:t>未委托中介机构进行半年度财务审计。</w:t>
      </w:r>
      <w:bookmarkStart w:id="0" w:name="_GoBack"/>
      <w:bookmarkEnd w:id="0"/>
      <w:r>
        <w:rPr>
          <w:rFonts w:ascii="仿宋_GB2312" w:eastAsia="仿宋_GB2312" w:hAnsi="Calibri"/>
          <w:sz w:val="32"/>
          <w:szCs w:val="32"/>
        </w:rPr>
        <w:t>本公司2021</w:t>
      </w:r>
      <w:r>
        <w:rPr>
          <w:rFonts w:ascii="仿宋_GB2312" w:eastAsia="仿宋_GB2312" w:hAnsi="Calibri" w:hint="eastAsia"/>
          <w:sz w:val="32"/>
          <w:szCs w:val="32"/>
        </w:rPr>
        <w:t>上半年主要财务数据：</w:t>
      </w:r>
      <w:r>
        <w:rPr>
          <w:rFonts w:ascii="仿宋_GB2312" w:eastAsia="仿宋_GB2312" w:hAnsi="Calibri"/>
          <w:sz w:val="32"/>
          <w:szCs w:val="32"/>
        </w:rPr>
        <w:t>营业收入29179.5万元，实现利润总额847.27万元，净利润615.14万元，年末资产负债率83.46%。</w:t>
      </w:r>
    </w:p>
    <w:p w:rsidR="00DE67A4" w:rsidRDefault="00A067FC" w:rsidP="006247E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t>五、对外大额捐赠和赞助：</w:t>
      </w:r>
      <w:r>
        <w:rPr>
          <w:rFonts w:ascii="仿宋_GB2312" w:eastAsia="仿宋_GB2312" w:hAnsi="仿宋_GB2312" w:cs="仿宋_GB2312" w:hint="eastAsia"/>
          <w:kern w:val="0"/>
          <w:sz w:val="32"/>
          <w:szCs w:val="32"/>
        </w:rPr>
        <w:t>无</w:t>
      </w:r>
    </w:p>
    <w:p w:rsidR="00DE67A4" w:rsidRDefault="00A067FC" w:rsidP="006247E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t>六、有关部门依法要求公开的监督检查问题整改情况、重大突发事件事态发展和应急处置情况：</w:t>
      </w:r>
      <w:r>
        <w:rPr>
          <w:rFonts w:ascii="仿宋_GB2312" w:eastAsia="仿宋_GB2312" w:hAnsi="仿宋_GB2312" w:cs="仿宋_GB2312" w:hint="eastAsia"/>
          <w:kern w:val="0"/>
          <w:sz w:val="32"/>
          <w:szCs w:val="32"/>
        </w:rPr>
        <w:t>无</w:t>
      </w:r>
    </w:p>
    <w:p w:rsidR="00DE67A4" w:rsidRDefault="00A067FC" w:rsidP="006247E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t>七、发生的重大事项及对企业的影响：</w:t>
      </w:r>
      <w:r>
        <w:rPr>
          <w:rFonts w:ascii="仿宋_GB2312" w:eastAsia="仿宋_GB2312" w:hAnsi="仿宋_GB2312" w:cs="仿宋_GB2312" w:hint="eastAsia"/>
          <w:kern w:val="0"/>
          <w:sz w:val="32"/>
          <w:szCs w:val="32"/>
        </w:rPr>
        <w:t>无</w:t>
      </w:r>
    </w:p>
    <w:p w:rsidR="00DE67A4" w:rsidRDefault="00A067FC" w:rsidP="006247E4">
      <w:pPr>
        <w:autoSpaceDE w:val="0"/>
        <w:autoSpaceDN w:val="0"/>
        <w:adjustRightInd w:val="0"/>
        <w:ind w:firstLine="641"/>
        <w:jc w:val="left"/>
        <w:rPr>
          <w:rFonts w:ascii="仿宋_GB2312" w:eastAsia="仿宋_GB2312" w:hAnsi="仿宋_GB2312" w:cs="仿宋_GB2312"/>
          <w:kern w:val="0"/>
          <w:sz w:val="32"/>
          <w:szCs w:val="32"/>
        </w:rPr>
      </w:pPr>
      <w:r>
        <w:rPr>
          <w:rFonts w:ascii="黑体" w:eastAsia="黑体" w:hAnsi="黑体" w:cs="黑体" w:hint="eastAsia"/>
          <w:kern w:val="0"/>
          <w:sz w:val="32"/>
          <w:szCs w:val="32"/>
        </w:rPr>
        <w:t>八、其他依照法律法规规定应当公开的信息：</w:t>
      </w:r>
      <w:r>
        <w:rPr>
          <w:rFonts w:ascii="仿宋_GB2312" w:eastAsia="仿宋_GB2312" w:hAnsi="仿宋_GB2312" w:cs="仿宋_GB2312" w:hint="eastAsia"/>
          <w:kern w:val="0"/>
          <w:sz w:val="32"/>
          <w:szCs w:val="32"/>
        </w:rPr>
        <w:t>无</w:t>
      </w:r>
    </w:p>
    <w:p w:rsidR="00DE67A4" w:rsidRDefault="00DE67A4">
      <w:pPr>
        <w:pStyle w:val="Default"/>
      </w:pPr>
    </w:p>
    <w:p w:rsidR="006247E4" w:rsidRPr="006247E4" w:rsidRDefault="006247E4" w:rsidP="006247E4">
      <w:pPr>
        <w:spacing w:line="560" w:lineRule="exact"/>
        <w:ind w:firstLine="421"/>
      </w:pPr>
      <w:r>
        <w:rPr>
          <w:rFonts w:hint="eastAsia"/>
        </w:rPr>
        <w:t xml:space="preserve">                                       </w:t>
      </w:r>
      <w:r w:rsidR="00E31244">
        <w:rPr>
          <w:rFonts w:ascii="仿宋_GB2312" w:eastAsia="仿宋_GB2312" w:hAnsi="Calibri" w:hint="eastAsia"/>
          <w:sz w:val="32"/>
          <w:szCs w:val="32"/>
        </w:rPr>
        <w:t xml:space="preserve">   </w:t>
      </w:r>
      <w:r w:rsidRPr="006247E4">
        <w:rPr>
          <w:rFonts w:ascii="仿宋_GB2312" w:eastAsia="仿宋_GB2312" w:hAnsi="Calibri" w:hint="eastAsia"/>
          <w:sz w:val="32"/>
          <w:szCs w:val="32"/>
        </w:rPr>
        <w:t xml:space="preserve">          2021年7月3日</w:t>
      </w:r>
    </w:p>
    <w:sectPr w:rsidR="006247E4" w:rsidRPr="006247E4" w:rsidSect="00DE67A4">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851" w:footer="1644" w:gutter="0"/>
      <w:cols w:space="425"/>
      <w:docGrid w:type="linesAndChars" w:linePitch="289"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A44" w:rsidRDefault="00850A44">
      <w:pPr>
        <w:ind w:firstLine="420"/>
      </w:pPr>
      <w:r>
        <w:separator/>
      </w:r>
    </w:p>
  </w:endnote>
  <w:endnote w:type="continuationSeparator" w:id="1">
    <w:p w:rsidR="00850A44" w:rsidRDefault="00850A44">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A4" w:rsidRDefault="00C53538">
    <w:pPr>
      <w:pStyle w:val="a5"/>
      <w:framePr w:wrap="around" w:vAnchor="text" w:hAnchor="margin" w:xAlign="center" w:y="1"/>
      <w:ind w:firstLine="360"/>
      <w:rPr>
        <w:rStyle w:val="a7"/>
      </w:rPr>
    </w:pPr>
    <w:r>
      <w:rPr>
        <w:rStyle w:val="a7"/>
      </w:rPr>
      <w:fldChar w:fldCharType="begin"/>
    </w:r>
    <w:r w:rsidR="00A067FC">
      <w:rPr>
        <w:rStyle w:val="a7"/>
      </w:rPr>
      <w:instrText xml:space="preserve">PAGE  </w:instrText>
    </w:r>
    <w:r>
      <w:rPr>
        <w:rStyle w:val="a7"/>
      </w:rPr>
      <w:fldChar w:fldCharType="end"/>
    </w:r>
  </w:p>
  <w:p w:rsidR="00DE67A4" w:rsidRDefault="00DE67A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A4" w:rsidRDefault="00A067FC">
    <w:pPr>
      <w:pStyle w:val="a5"/>
      <w:framePr w:w="1370" w:wrap="around" w:vAnchor="text" w:hAnchor="margin" w:xAlign="outside" w:y="1"/>
      <w:tabs>
        <w:tab w:val="left" w:pos="882"/>
        <w:tab w:val="left" w:pos="1078"/>
      </w:tabs>
      <w:ind w:firstLineChars="130" w:firstLine="364"/>
      <w:rPr>
        <w:rStyle w:val="a7"/>
        <w:rFonts w:ascii="宋体" w:hAnsi="宋体"/>
        <w:sz w:val="28"/>
        <w:szCs w:val="28"/>
      </w:rPr>
    </w:pPr>
    <w:r>
      <w:rPr>
        <w:rStyle w:val="a7"/>
        <w:rFonts w:ascii="宋体" w:hAnsi="宋体" w:hint="eastAsia"/>
        <w:sz w:val="28"/>
        <w:szCs w:val="28"/>
      </w:rPr>
      <w:t>－</w:t>
    </w:r>
    <w:r w:rsidR="00C53538">
      <w:rPr>
        <w:rStyle w:val="a7"/>
        <w:rFonts w:ascii="宋体" w:hAnsi="宋体"/>
        <w:sz w:val="28"/>
        <w:szCs w:val="28"/>
      </w:rPr>
      <w:fldChar w:fldCharType="begin"/>
    </w:r>
    <w:r>
      <w:rPr>
        <w:rStyle w:val="a7"/>
        <w:rFonts w:ascii="宋体" w:hAnsi="宋体"/>
        <w:sz w:val="28"/>
        <w:szCs w:val="28"/>
      </w:rPr>
      <w:instrText xml:space="preserve">PAGE  </w:instrText>
    </w:r>
    <w:r w:rsidR="00C53538">
      <w:rPr>
        <w:rStyle w:val="a7"/>
        <w:rFonts w:ascii="宋体" w:hAnsi="宋体"/>
        <w:sz w:val="28"/>
        <w:szCs w:val="28"/>
      </w:rPr>
      <w:fldChar w:fldCharType="separate"/>
    </w:r>
    <w:r w:rsidR="00E31244">
      <w:rPr>
        <w:rStyle w:val="a7"/>
        <w:rFonts w:ascii="宋体" w:hAnsi="宋体"/>
        <w:noProof/>
        <w:sz w:val="28"/>
        <w:szCs w:val="28"/>
      </w:rPr>
      <w:t>3</w:t>
    </w:r>
    <w:r w:rsidR="00C53538">
      <w:rPr>
        <w:rStyle w:val="a7"/>
        <w:rFonts w:ascii="宋体" w:hAnsi="宋体"/>
        <w:sz w:val="28"/>
        <w:szCs w:val="28"/>
      </w:rPr>
      <w:fldChar w:fldCharType="end"/>
    </w:r>
    <w:r>
      <w:rPr>
        <w:rStyle w:val="a7"/>
        <w:rFonts w:ascii="宋体" w:hAnsi="宋体" w:hint="eastAsia"/>
        <w:sz w:val="28"/>
        <w:szCs w:val="28"/>
      </w:rPr>
      <w:t>－</w:t>
    </w:r>
  </w:p>
  <w:p w:rsidR="00DE67A4" w:rsidRDefault="00DE67A4">
    <w:pPr>
      <w:pStyle w:val="a5"/>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A4" w:rsidRDefault="00DE67A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A44" w:rsidRDefault="00850A44">
      <w:pPr>
        <w:ind w:firstLine="420"/>
      </w:pPr>
      <w:r>
        <w:separator/>
      </w:r>
    </w:p>
  </w:footnote>
  <w:footnote w:type="continuationSeparator" w:id="1">
    <w:p w:rsidR="00850A44" w:rsidRDefault="00850A44">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A4" w:rsidRDefault="00DE67A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A4" w:rsidRDefault="00DE67A4">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7A4" w:rsidRDefault="00DE67A4">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A7898"/>
    <w:multiLevelType w:val="singleLevel"/>
    <w:tmpl w:val="28AA7898"/>
    <w:lvl w:ilvl="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attachedTemplate r:id="rId1"/>
  <w:stylePaneFormatFilter w:val="3F01"/>
  <w:doNotTrackMoves/>
  <w:defaultTabStop w:val="420"/>
  <w:drawingGridHorizontalSpacing w:val="211"/>
  <w:drawingGridVerticalSpacing w:val="289"/>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VmZDM5YTcxNjQ5YmZjMDRjOGU4MmM3OWE3ZTZkMTYifQ=="/>
  </w:docVars>
  <w:rsids>
    <w:rsidRoot w:val="7E981FF2"/>
    <w:rsid w:val="0000689B"/>
    <w:rsid w:val="00024A30"/>
    <w:rsid w:val="00095599"/>
    <w:rsid w:val="000B2E45"/>
    <w:rsid w:val="000D6968"/>
    <w:rsid w:val="001133B9"/>
    <w:rsid w:val="00120EA0"/>
    <w:rsid w:val="001C7AA0"/>
    <w:rsid w:val="00224E5B"/>
    <w:rsid w:val="002333CE"/>
    <w:rsid w:val="00242FEE"/>
    <w:rsid w:val="00271C2F"/>
    <w:rsid w:val="002A38E4"/>
    <w:rsid w:val="002B322C"/>
    <w:rsid w:val="002C6E7E"/>
    <w:rsid w:val="003076A3"/>
    <w:rsid w:val="003303AC"/>
    <w:rsid w:val="00357094"/>
    <w:rsid w:val="0037150F"/>
    <w:rsid w:val="003A1447"/>
    <w:rsid w:val="003C0583"/>
    <w:rsid w:val="003E2189"/>
    <w:rsid w:val="003F2A79"/>
    <w:rsid w:val="004046D4"/>
    <w:rsid w:val="0040518A"/>
    <w:rsid w:val="004360DE"/>
    <w:rsid w:val="00534508"/>
    <w:rsid w:val="00542EC8"/>
    <w:rsid w:val="005C4CB6"/>
    <w:rsid w:val="006247E4"/>
    <w:rsid w:val="00697C77"/>
    <w:rsid w:val="006B5909"/>
    <w:rsid w:val="006B7DDC"/>
    <w:rsid w:val="006D4401"/>
    <w:rsid w:val="00755442"/>
    <w:rsid w:val="007745F5"/>
    <w:rsid w:val="00794C17"/>
    <w:rsid w:val="00827BE1"/>
    <w:rsid w:val="008371F8"/>
    <w:rsid w:val="00847ECA"/>
    <w:rsid w:val="00850A44"/>
    <w:rsid w:val="00895D42"/>
    <w:rsid w:val="008A74D5"/>
    <w:rsid w:val="009A2006"/>
    <w:rsid w:val="009A32FB"/>
    <w:rsid w:val="00A067FC"/>
    <w:rsid w:val="00A06BBB"/>
    <w:rsid w:val="00A577B1"/>
    <w:rsid w:val="00A90169"/>
    <w:rsid w:val="00B02B54"/>
    <w:rsid w:val="00B136AD"/>
    <w:rsid w:val="00BA7FE0"/>
    <w:rsid w:val="00BC354C"/>
    <w:rsid w:val="00C25608"/>
    <w:rsid w:val="00C32B86"/>
    <w:rsid w:val="00C53538"/>
    <w:rsid w:val="00CA4332"/>
    <w:rsid w:val="00CB08BE"/>
    <w:rsid w:val="00CC1C1A"/>
    <w:rsid w:val="00CE21B7"/>
    <w:rsid w:val="00CF46B2"/>
    <w:rsid w:val="00D04209"/>
    <w:rsid w:val="00D25A64"/>
    <w:rsid w:val="00D27737"/>
    <w:rsid w:val="00D4438A"/>
    <w:rsid w:val="00DB0CFE"/>
    <w:rsid w:val="00DB5B5A"/>
    <w:rsid w:val="00DE67A4"/>
    <w:rsid w:val="00E31244"/>
    <w:rsid w:val="00E70975"/>
    <w:rsid w:val="00E775BF"/>
    <w:rsid w:val="00E84052"/>
    <w:rsid w:val="00F43561"/>
    <w:rsid w:val="00FD2BB2"/>
    <w:rsid w:val="00FE390B"/>
    <w:rsid w:val="0F2D2FD4"/>
    <w:rsid w:val="14FA06C7"/>
    <w:rsid w:val="5D831844"/>
    <w:rsid w:val="6A2A64B5"/>
    <w:rsid w:val="7E981FF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List Number 5"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E67A4"/>
    <w:pPr>
      <w:widowControl w:val="0"/>
      <w:ind w:firstLineChars="200" w:firstLine="20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2"/>
    <w:uiPriority w:val="99"/>
    <w:qFormat/>
    <w:rsid w:val="00DE67A4"/>
    <w:pPr>
      <w:widowControl w:val="0"/>
      <w:autoSpaceDE w:val="0"/>
      <w:autoSpaceDN w:val="0"/>
      <w:adjustRightInd w:val="0"/>
    </w:pPr>
    <w:rPr>
      <w:rFonts w:ascii="仿宋_GB2312" w:eastAsia="仿宋_GB2312" w:hAnsi="Calibri" w:cs="仿宋_GB2312"/>
      <w:color w:val="000000"/>
      <w:sz w:val="24"/>
      <w:szCs w:val="24"/>
    </w:rPr>
  </w:style>
  <w:style w:type="paragraph" w:styleId="2">
    <w:name w:val="Body Text First Indent 2"/>
    <w:basedOn w:val="a3"/>
    <w:next w:val="a4"/>
    <w:uiPriority w:val="99"/>
    <w:unhideWhenUsed/>
    <w:qFormat/>
    <w:rsid w:val="00DE67A4"/>
    <w:pPr>
      <w:ind w:firstLine="420"/>
    </w:pPr>
  </w:style>
  <w:style w:type="paragraph" w:styleId="a3">
    <w:name w:val="Body Text Indent"/>
    <w:basedOn w:val="a"/>
    <w:next w:val="a"/>
    <w:uiPriority w:val="99"/>
    <w:unhideWhenUsed/>
    <w:qFormat/>
    <w:rsid w:val="00DE67A4"/>
    <w:pPr>
      <w:spacing w:after="120"/>
      <w:ind w:leftChars="200" w:left="420"/>
    </w:pPr>
  </w:style>
  <w:style w:type="paragraph" w:styleId="a4">
    <w:name w:val="Plain Text"/>
    <w:basedOn w:val="a"/>
    <w:next w:val="5"/>
    <w:qFormat/>
    <w:rsid w:val="00DE67A4"/>
    <w:rPr>
      <w:rFonts w:ascii="宋体" w:hAnsi="Courier New" w:cs="Courier New"/>
      <w:szCs w:val="21"/>
    </w:rPr>
  </w:style>
  <w:style w:type="paragraph" w:styleId="5">
    <w:name w:val="List Number 5"/>
    <w:basedOn w:val="a"/>
    <w:qFormat/>
    <w:rsid w:val="00DE67A4"/>
    <w:pPr>
      <w:numPr>
        <w:numId w:val="1"/>
      </w:numPr>
    </w:pPr>
  </w:style>
  <w:style w:type="paragraph" w:styleId="a5">
    <w:name w:val="footer"/>
    <w:basedOn w:val="a"/>
    <w:link w:val="Char"/>
    <w:qFormat/>
    <w:rsid w:val="00DE67A4"/>
    <w:pPr>
      <w:tabs>
        <w:tab w:val="center" w:pos="4153"/>
        <w:tab w:val="right" w:pos="8306"/>
      </w:tabs>
      <w:snapToGrid w:val="0"/>
      <w:jc w:val="left"/>
    </w:pPr>
    <w:rPr>
      <w:sz w:val="18"/>
      <w:szCs w:val="18"/>
      <w:lang/>
    </w:rPr>
  </w:style>
  <w:style w:type="paragraph" w:styleId="a6">
    <w:name w:val="header"/>
    <w:basedOn w:val="a"/>
    <w:link w:val="Char0"/>
    <w:qFormat/>
    <w:rsid w:val="00DE67A4"/>
    <w:pPr>
      <w:pBdr>
        <w:bottom w:val="single" w:sz="6" w:space="1" w:color="auto"/>
      </w:pBdr>
      <w:tabs>
        <w:tab w:val="center" w:pos="4153"/>
        <w:tab w:val="right" w:pos="8306"/>
      </w:tabs>
      <w:snapToGrid w:val="0"/>
      <w:jc w:val="center"/>
    </w:pPr>
    <w:rPr>
      <w:sz w:val="18"/>
      <w:szCs w:val="18"/>
      <w:lang/>
    </w:rPr>
  </w:style>
  <w:style w:type="character" w:styleId="a7">
    <w:name w:val="page number"/>
    <w:basedOn w:val="a0"/>
    <w:qFormat/>
    <w:rsid w:val="00DE67A4"/>
  </w:style>
  <w:style w:type="character" w:customStyle="1" w:styleId="Char0">
    <w:name w:val="页眉 Char"/>
    <w:link w:val="a6"/>
    <w:qFormat/>
    <w:rsid w:val="00DE67A4"/>
    <w:rPr>
      <w:kern w:val="2"/>
      <w:sz w:val="18"/>
      <w:szCs w:val="18"/>
    </w:rPr>
  </w:style>
  <w:style w:type="character" w:customStyle="1" w:styleId="Char">
    <w:name w:val="页脚 Char"/>
    <w:link w:val="a5"/>
    <w:qFormat/>
    <w:rsid w:val="00DE67A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464;&#24544;&#21220;&#25991;&#26723;\&#20844;&#25991;&#26684;&#24335;\&#25991;&#20214;&#27169;&#26495;&#65288;&#39029;&#30721;&#20004;&#20391;&#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文件模板（页码两侧）</Template>
  <TotalTime>12</TotalTime>
  <Pages>3</Pages>
  <Words>199</Words>
  <Characters>1139</Characters>
  <Application>Microsoft Office Word</Application>
  <DocSecurity>0</DocSecurity>
  <Lines>9</Lines>
  <Paragraphs>2</Paragraphs>
  <ScaleCrop>false</ScaleCrop>
  <Company>China</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韩磊</dc:creator>
  <cp:lastModifiedBy>Windows 用户</cp:lastModifiedBy>
  <cp:revision>5</cp:revision>
  <dcterms:created xsi:type="dcterms:W3CDTF">2022-06-03T01:26:00Z</dcterms:created>
  <dcterms:modified xsi:type="dcterms:W3CDTF">2022-06-06T10:36:00Z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3DCAAA8C632A4FA28C0313720E551AB9</vt:lpwstr>
  </property>
  <property fmtid="{D5CDD505-2E9C-101B-9397-08002B2CF9AE}" pid="3" name="KSOProductBuildVer">
    <vt:lpwstr>2052-11.1.0.11744</vt:lpwstr>
  </property>
</Properties>
</file>