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2C" w:rsidRDefault="00527E2C" w:rsidP="00527E2C">
      <w:r w:rsidRPr="001644C6">
        <w:rPr>
          <w:rFonts w:hint="eastAsia"/>
          <w:b/>
        </w:rPr>
        <w:t>证券代码：</w:t>
      </w:r>
      <w:r w:rsidRPr="001644C6">
        <w:rPr>
          <w:b/>
        </w:rPr>
        <w:t xml:space="preserve">600188             </w:t>
      </w:r>
      <w:r w:rsidRPr="001644C6">
        <w:rPr>
          <w:rFonts w:hint="eastAsia"/>
          <w:b/>
        </w:rPr>
        <w:t>证券简称：兖州煤业</w:t>
      </w:r>
      <w:r w:rsidRPr="001644C6">
        <w:rPr>
          <w:b/>
        </w:rPr>
        <w:t xml:space="preserve">             </w:t>
      </w:r>
      <w:r w:rsidRPr="001644C6">
        <w:rPr>
          <w:rFonts w:hint="eastAsia"/>
          <w:b/>
        </w:rPr>
        <w:t>公告编号：</w:t>
      </w:r>
      <w:r w:rsidRPr="001644C6">
        <w:rPr>
          <w:b/>
        </w:rPr>
        <w:t>201</w:t>
      </w:r>
      <w:r w:rsidR="00E06AD1">
        <w:rPr>
          <w:rFonts w:hint="eastAsia"/>
          <w:b/>
        </w:rPr>
        <w:t>7</w:t>
      </w:r>
      <w:r w:rsidRPr="001644C6">
        <w:rPr>
          <w:b/>
        </w:rPr>
        <w:t>-</w:t>
      </w:r>
      <w:r w:rsidR="000673B2">
        <w:rPr>
          <w:rFonts w:hint="eastAsia"/>
          <w:b/>
        </w:rPr>
        <w:t>084</w:t>
      </w:r>
    </w:p>
    <w:p w:rsidR="00527E2C" w:rsidRPr="00433677" w:rsidRDefault="00527E2C" w:rsidP="003E27BB">
      <w:pPr>
        <w:spacing w:beforeLines="50" w:afterLines="50" w:line="560" w:lineRule="exact"/>
        <w:jc w:val="center"/>
        <w:rPr>
          <w:rFonts w:ascii="黑体" w:eastAsia="黑体"/>
          <w:b/>
          <w:bCs/>
          <w:color w:val="FF0000"/>
          <w:sz w:val="36"/>
          <w:szCs w:val="36"/>
        </w:rPr>
      </w:pPr>
      <w:r w:rsidRPr="00433677">
        <w:rPr>
          <w:rFonts w:ascii="黑体" w:eastAsia="黑体" w:hint="eastAsia"/>
          <w:b/>
          <w:bCs/>
          <w:color w:val="FF0000"/>
          <w:sz w:val="36"/>
          <w:szCs w:val="36"/>
        </w:rPr>
        <w:t>兖州煤业股份有限公司</w:t>
      </w:r>
      <w:r>
        <w:rPr>
          <w:rFonts w:ascii="黑体" w:eastAsia="黑体" w:hint="eastAsia"/>
          <w:b/>
          <w:bCs/>
          <w:color w:val="FF0000"/>
          <w:sz w:val="36"/>
          <w:szCs w:val="36"/>
        </w:rPr>
        <w:t>涉及诉讼</w:t>
      </w:r>
      <w:r w:rsidRPr="00433677">
        <w:rPr>
          <w:rFonts w:ascii="黑体" w:eastAsia="黑体" w:hint="eastAsia"/>
          <w:b/>
          <w:bCs/>
          <w:color w:val="FF0000"/>
          <w:sz w:val="36"/>
          <w:szCs w:val="36"/>
        </w:rPr>
        <w:t>公告</w:t>
      </w:r>
    </w:p>
    <w:p w:rsidR="00527E2C" w:rsidRDefault="00527E2C" w:rsidP="00527E2C">
      <w:pPr>
        <w:rPr>
          <w:rFonts w:ascii="宋体"/>
          <w:sz w:val="30"/>
          <w:szCs w:val="30"/>
        </w:rPr>
      </w:pPr>
    </w:p>
    <w:p w:rsidR="00527E2C" w:rsidRPr="00E657A6" w:rsidRDefault="00191720" w:rsidP="00527E2C">
      <w:pPr>
        <w:ind w:firstLineChars="200" w:firstLine="420"/>
        <w:rPr>
          <w:rFonts w:ascii="仿宋_GB2312" w:eastAsia="仿宋_GB2312" w:hAnsi="宋体"/>
          <w:b/>
          <w:sz w:val="30"/>
          <w:szCs w:val="30"/>
        </w:rPr>
      </w:pPr>
      <w:r w:rsidRPr="00191720">
        <w:rPr>
          <w:noProof/>
        </w:rPr>
        <w:pict>
          <v:shapetype id="_x0000_t202" coordsize="21600,21600" o:spt="202" path="m,l,21600r21600,l21600,xe">
            <v:stroke joinstyle="miter"/>
            <v:path gradientshapeok="t" o:connecttype="rect"/>
          </v:shapetype>
          <v:shape id="_x0000_s2050" type="#_x0000_t202" style="position:absolute;left:0;text-align:left;margin-left:9pt;margin-top:-27.15pt;width:423pt;height:77.2pt;z-index:251660288">
            <v:textbox style="mso-next-textbox:#_x0000_s2050">
              <w:txbxContent>
                <w:p w:rsidR="00527E2C" w:rsidRPr="00E17545" w:rsidRDefault="00527E2C" w:rsidP="00527E2C">
                  <w:pPr>
                    <w:adjustRightInd w:val="0"/>
                    <w:snapToGrid w:val="0"/>
                    <w:spacing w:line="480" w:lineRule="exact"/>
                    <w:ind w:firstLineChars="200" w:firstLine="560"/>
                    <w:rPr>
                      <w:sz w:val="28"/>
                    </w:rPr>
                  </w:pPr>
                  <w:r w:rsidRPr="00E17545">
                    <w:rPr>
                      <w:rFonts w:hint="eastAsia"/>
                      <w:sz w:val="28"/>
                    </w:rPr>
                    <w:t>本公司董事会及全体董事保证本公告内容不存在任何虚假记载、误导性陈述或者重大遗漏，并对其内容的真实性、准确性和完整性承担个别及连带责任。</w:t>
                  </w:r>
                </w:p>
              </w:txbxContent>
            </v:textbox>
          </v:shape>
        </w:pict>
      </w:r>
    </w:p>
    <w:p w:rsidR="00527E2C" w:rsidRPr="00E657A6" w:rsidRDefault="00527E2C" w:rsidP="00527E2C">
      <w:pPr>
        <w:spacing w:line="520" w:lineRule="exact"/>
        <w:ind w:firstLineChars="200" w:firstLine="600"/>
        <w:rPr>
          <w:rFonts w:ascii="仿宋_GB2312" w:eastAsia="仿宋_GB2312" w:hAnsi="宋体"/>
          <w:sz w:val="30"/>
          <w:szCs w:val="30"/>
        </w:rPr>
      </w:pPr>
    </w:p>
    <w:p w:rsidR="00527E2C" w:rsidRPr="00963519" w:rsidRDefault="00527E2C" w:rsidP="00527E2C">
      <w:pPr>
        <w:tabs>
          <w:tab w:val="num" w:pos="1500"/>
        </w:tabs>
        <w:adjustRightInd w:val="0"/>
        <w:snapToGrid w:val="0"/>
        <w:spacing w:line="360" w:lineRule="auto"/>
        <w:ind w:firstLine="555"/>
        <w:rPr>
          <w:rFonts w:ascii="宋体"/>
          <w:b/>
          <w:sz w:val="24"/>
        </w:rPr>
      </w:pPr>
      <w:r w:rsidRPr="00963519">
        <w:rPr>
          <w:rFonts w:ascii="宋体" w:hAnsi="宋体" w:hint="eastAsia"/>
          <w:b/>
          <w:sz w:val="24"/>
        </w:rPr>
        <w:t>重要内容提示</w:t>
      </w:r>
      <w:r w:rsidRPr="00963519">
        <w:rPr>
          <w:rFonts w:ascii="宋体" w:hAnsi="宋体"/>
          <w:b/>
          <w:sz w:val="24"/>
        </w:rPr>
        <w:t>:</w:t>
      </w:r>
    </w:p>
    <w:p w:rsidR="00527E2C" w:rsidRPr="00EF0620" w:rsidRDefault="00527E2C" w:rsidP="00527E2C">
      <w:pPr>
        <w:numPr>
          <w:ilvl w:val="0"/>
          <w:numId w:val="1"/>
        </w:numPr>
        <w:adjustRightInd w:val="0"/>
        <w:snapToGrid w:val="0"/>
        <w:spacing w:line="360" w:lineRule="auto"/>
        <w:ind w:left="0" w:firstLineChars="200" w:firstLine="560"/>
        <w:rPr>
          <w:rFonts w:ascii="宋体"/>
          <w:sz w:val="28"/>
          <w:szCs w:val="28"/>
        </w:rPr>
      </w:pPr>
      <w:r w:rsidRPr="00EF0620">
        <w:rPr>
          <w:rFonts w:ascii="宋体" w:hAnsi="宋体" w:hint="eastAsia"/>
          <w:sz w:val="28"/>
          <w:szCs w:val="28"/>
        </w:rPr>
        <w:t>案件所处的诉讼阶段：</w:t>
      </w:r>
      <w:r w:rsidR="00425703">
        <w:rPr>
          <w:rFonts w:ascii="宋体" w:hAnsi="宋体" w:hint="eastAsia"/>
          <w:sz w:val="28"/>
          <w:szCs w:val="28"/>
        </w:rPr>
        <w:t>仲裁案件已受理</w:t>
      </w:r>
    </w:p>
    <w:p w:rsidR="00527E2C" w:rsidRPr="00EF0620" w:rsidRDefault="00527E2C" w:rsidP="00527E2C">
      <w:pPr>
        <w:numPr>
          <w:ilvl w:val="0"/>
          <w:numId w:val="1"/>
        </w:numPr>
        <w:adjustRightInd w:val="0"/>
        <w:snapToGrid w:val="0"/>
        <w:spacing w:line="360" w:lineRule="auto"/>
        <w:ind w:left="0" w:firstLineChars="200" w:firstLine="560"/>
        <w:rPr>
          <w:rFonts w:ascii="宋体"/>
          <w:sz w:val="28"/>
          <w:szCs w:val="28"/>
        </w:rPr>
      </w:pPr>
      <w:r w:rsidRPr="00EF0620">
        <w:rPr>
          <w:rFonts w:ascii="宋体" w:hAnsi="宋体" w:hint="eastAsia"/>
          <w:sz w:val="28"/>
          <w:szCs w:val="28"/>
        </w:rPr>
        <w:t>上市公司所处的当事人地位：</w:t>
      </w:r>
      <w:r w:rsidR="00662F63">
        <w:rPr>
          <w:rFonts w:ascii="宋体" w:hAnsi="宋体" w:hint="eastAsia"/>
          <w:sz w:val="28"/>
          <w:szCs w:val="28"/>
        </w:rPr>
        <w:t>申请人股东</w:t>
      </w:r>
    </w:p>
    <w:p w:rsidR="00527E2C" w:rsidRPr="00EF0620" w:rsidRDefault="00527E2C" w:rsidP="00527E2C">
      <w:pPr>
        <w:numPr>
          <w:ilvl w:val="0"/>
          <w:numId w:val="1"/>
        </w:numPr>
        <w:adjustRightInd w:val="0"/>
        <w:snapToGrid w:val="0"/>
        <w:spacing w:line="360" w:lineRule="auto"/>
        <w:ind w:left="0" w:firstLineChars="200" w:firstLine="560"/>
        <w:rPr>
          <w:rFonts w:ascii="宋体"/>
          <w:sz w:val="28"/>
          <w:szCs w:val="28"/>
        </w:rPr>
      </w:pPr>
      <w:r>
        <w:rPr>
          <w:rFonts w:ascii="宋体" w:hAnsi="宋体" w:hint="eastAsia"/>
          <w:sz w:val="28"/>
          <w:szCs w:val="28"/>
        </w:rPr>
        <w:t>涉案</w:t>
      </w:r>
      <w:r w:rsidRPr="00EF0620">
        <w:rPr>
          <w:rFonts w:ascii="宋体" w:hAnsi="宋体" w:hint="eastAsia"/>
          <w:sz w:val="28"/>
          <w:szCs w:val="28"/>
        </w:rPr>
        <w:t>金额：</w:t>
      </w:r>
      <w:r w:rsidR="00662F63">
        <w:rPr>
          <w:rFonts w:ascii="宋体" w:hAnsi="宋体" w:hint="eastAsia"/>
          <w:sz w:val="28"/>
          <w:szCs w:val="28"/>
        </w:rPr>
        <w:t>人民币</w:t>
      </w:r>
      <w:r w:rsidR="00CF21E5">
        <w:rPr>
          <w:rFonts w:ascii="宋体" w:hAnsi="宋体" w:hint="eastAsia"/>
          <w:sz w:val="28"/>
          <w:szCs w:val="28"/>
        </w:rPr>
        <w:t>3.41</w:t>
      </w:r>
      <w:r w:rsidR="00662F63">
        <w:rPr>
          <w:rFonts w:ascii="宋体" w:hAnsi="宋体" w:hint="eastAsia"/>
          <w:sz w:val="28"/>
          <w:szCs w:val="28"/>
        </w:rPr>
        <w:t>亿元</w:t>
      </w:r>
    </w:p>
    <w:p w:rsidR="005137C4" w:rsidRPr="00924096" w:rsidRDefault="00527E2C" w:rsidP="005137C4">
      <w:pPr>
        <w:spacing w:line="560" w:lineRule="exact"/>
        <w:ind w:firstLineChars="196" w:firstLine="549"/>
        <w:rPr>
          <w:rFonts w:ascii="宋体" w:hAnsi="宋体"/>
          <w:sz w:val="28"/>
          <w:szCs w:val="28"/>
        </w:rPr>
      </w:pPr>
      <w:r w:rsidRPr="00165709">
        <w:rPr>
          <w:rFonts w:ascii="宋体" w:hAnsi="宋体" w:hint="eastAsia"/>
          <w:sz w:val="28"/>
          <w:szCs w:val="28"/>
        </w:rPr>
        <w:t>是否会对上市公司损益产生负面影响：</w:t>
      </w:r>
      <w:r w:rsidR="00143091" w:rsidRPr="00165709">
        <w:rPr>
          <w:rFonts w:ascii="宋体" w:hAnsi="宋体" w:hint="eastAsia"/>
          <w:sz w:val="28"/>
          <w:szCs w:val="28"/>
        </w:rPr>
        <w:t>因原材料供应不足，天浩化工</w:t>
      </w:r>
      <w:r w:rsidR="005D52A2" w:rsidRPr="00165709">
        <w:rPr>
          <w:rFonts w:ascii="宋体" w:hAnsi="宋体" w:hint="eastAsia"/>
          <w:sz w:val="28"/>
          <w:szCs w:val="28"/>
        </w:rPr>
        <w:t>已</w:t>
      </w:r>
      <w:r w:rsidR="00143091" w:rsidRPr="00165709">
        <w:rPr>
          <w:rFonts w:ascii="宋体" w:hAnsi="宋体" w:hint="eastAsia"/>
          <w:sz w:val="28"/>
          <w:szCs w:val="28"/>
        </w:rPr>
        <w:t>被迫停产。</w:t>
      </w:r>
      <w:r w:rsidR="005137C4" w:rsidRPr="00165709">
        <w:rPr>
          <w:rFonts w:ascii="宋体" w:hAnsi="宋体" w:hint="eastAsia"/>
          <w:sz w:val="28"/>
          <w:szCs w:val="28"/>
        </w:rPr>
        <w:t>截止本公告披露日，公司已</w:t>
      </w:r>
      <w:r w:rsidR="00331EA7" w:rsidRPr="00165709">
        <w:rPr>
          <w:rFonts w:ascii="宋体" w:hAnsi="宋体" w:hint="eastAsia"/>
          <w:sz w:val="28"/>
          <w:szCs w:val="28"/>
        </w:rPr>
        <w:t>全额</w:t>
      </w:r>
      <w:r w:rsidR="005137C4" w:rsidRPr="00165709">
        <w:rPr>
          <w:rFonts w:ascii="宋体" w:hAnsi="宋体" w:hint="eastAsia"/>
          <w:sz w:val="28"/>
          <w:szCs w:val="28"/>
        </w:rPr>
        <w:t>对天浩化工计提了</w:t>
      </w:r>
      <w:r w:rsidR="009A7398" w:rsidRPr="00165709">
        <w:rPr>
          <w:rFonts w:ascii="宋体" w:hAnsi="宋体" w:hint="eastAsia"/>
          <w:sz w:val="28"/>
          <w:szCs w:val="28"/>
        </w:rPr>
        <w:t>3.</w:t>
      </w:r>
      <w:r w:rsidR="00143091" w:rsidRPr="00165709">
        <w:rPr>
          <w:rFonts w:ascii="宋体" w:hAnsi="宋体" w:hint="eastAsia"/>
          <w:sz w:val="28"/>
          <w:szCs w:val="28"/>
        </w:rPr>
        <w:t>80</w:t>
      </w:r>
      <w:r w:rsidR="005137C4" w:rsidRPr="00165709">
        <w:rPr>
          <w:rFonts w:ascii="宋体" w:hAnsi="宋体" w:hint="eastAsia"/>
          <w:sz w:val="28"/>
          <w:szCs w:val="28"/>
        </w:rPr>
        <w:t>亿元的</w:t>
      </w:r>
      <w:r w:rsidR="00331EA7" w:rsidRPr="00165709">
        <w:rPr>
          <w:rFonts w:ascii="宋体" w:hAnsi="宋体" w:hint="eastAsia"/>
          <w:sz w:val="28"/>
          <w:szCs w:val="28"/>
        </w:rPr>
        <w:t>固定</w:t>
      </w:r>
      <w:r w:rsidR="005137C4" w:rsidRPr="00165709">
        <w:rPr>
          <w:rFonts w:ascii="宋体" w:hAnsi="宋体" w:hint="eastAsia"/>
          <w:sz w:val="28"/>
          <w:szCs w:val="28"/>
        </w:rPr>
        <w:t>资产减值准备。由于案件尚未最终裁定，无法判断对公司本期利润或期后利润的影响。</w:t>
      </w:r>
    </w:p>
    <w:p w:rsidR="00421301" w:rsidRPr="005137C4" w:rsidRDefault="00421301" w:rsidP="005137C4">
      <w:pPr>
        <w:adjustRightInd w:val="0"/>
        <w:snapToGrid w:val="0"/>
        <w:spacing w:line="360" w:lineRule="auto"/>
        <w:ind w:left="850"/>
        <w:rPr>
          <w:rFonts w:ascii="宋体"/>
          <w:sz w:val="28"/>
          <w:szCs w:val="28"/>
        </w:rPr>
      </w:pPr>
    </w:p>
    <w:p w:rsidR="00662F63" w:rsidRDefault="00662F63" w:rsidP="00662F63">
      <w:pPr>
        <w:spacing w:line="560" w:lineRule="exact"/>
        <w:ind w:firstLineChars="200" w:firstLine="560"/>
        <w:rPr>
          <w:rFonts w:asciiTheme="minorEastAsia" w:eastAsiaTheme="minorEastAsia" w:hAnsiTheme="minorEastAsia"/>
          <w:sz w:val="28"/>
          <w:szCs w:val="28"/>
        </w:rPr>
      </w:pPr>
      <w:r w:rsidRPr="00662F63">
        <w:rPr>
          <w:rFonts w:asciiTheme="minorEastAsia" w:eastAsiaTheme="minorEastAsia" w:hAnsiTheme="minorEastAsia" w:hint="eastAsia"/>
          <w:sz w:val="28"/>
          <w:szCs w:val="28"/>
        </w:rPr>
        <w:t xml:space="preserve">一、案件基本情况 </w:t>
      </w:r>
    </w:p>
    <w:p w:rsidR="00662F63" w:rsidRDefault="00662F63" w:rsidP="00331EA7">
      <w:pPr>
        <w:spacing w:line="560" w:lineRule="exact"/>
        <w:ind w:firstLineChars="200" w:firstLine="560"/>
        <w:rPr>
          <w:rFonts w:asciiTheme="minorEastAsia" w:eastAsiaTheme="minorEastAsia" w:hAnsiTheme="minorEastAsia"/>
          <w:sz w:val="28"/>
          <w:szCs w:val="28"/>
        </w:rPr>
      </w:pPr>
      <w:r w:rsidRPr="00662F63">
        <w:rPr>
          <w:rFonts w:asciiTheme="minorEastAsia" w:eastAsiaTheme="minorEastAsia" w:hAnsiTheme="minorEastAsia" w:hint="eastAsia"/>
          <w:sz w:val="28"/>
          <w:szCs w:val="28"/>
        </w:rPr>
        <w:t>2005 年 2 月，</w:t>
      </w:r>
      <w:r w:rsidR="0083386B" w:rsidRPr="00662F63">
        <w:rPr>
          <w:rFonts w:asciiTheme="minorEastAsia" w:eastAsiaTheme="minorEastAsia" w:hAnsiTheme="minorEastAsia" w:hint="eastAsia"/>
          <w:sz w:val="28"/>
          <w:szCs w:val="28"/>
        </w:rPr>
        <w:t>兖州煤业股份有限公司（“兖州煤业”或“本公司”）全资子公司—兖州煤业山西能化有限公司（“山西能化”）</w:t>
      </w:r>
      <w:r w:rsidRPr="00662F63">
        <w:rPr>
          <w:rFonts w:asciiTheme="minorEastAsia" w:eastAsiaTheme="minorEastAsia" w:hAnsiTheme="minorEastAsia" w:hint="eastAsia"/>
          <w:sz w:val="28"/>
          <w:szCs w:val="28"/>
        </w:rPr>
        <w:t>和</w:t>
      </w:r>
      <w:r w:rsidR="0083386B" w:rsidRPr="00662F63">
        <w:rPr>
          <w:rFonts w:asciiTheme="minorEastAsia" w:eastAsiaTheme="minorEastAsia" w:hAnsiTheme="minorEastAsia" w:hint="eastAsia"/>
          <w:sz w:val="28"/>
          <w:szCs w:val="28"/>
        </w:rPr>
        <w:t>山西金晖煤焦化工有限公司 （“山西金晖”）</w:t>
      </w:r>
      <w:r w:rsidRPr="00662F63">
        <w:rPr>
          <w:rFonts w:asciiTheme="minorEastAsia" w:eastAsiaTheme="minorEastAsia" w:hAnsiTheme="minorEastAsia" w:hint="eastAsia"/>
          <w:sz w:val="28"/>
          <w:szCs w:val="28"/>
        </w:rPr>
        <w:t>签订了《资产置换协议》，山西金晖与山西能化控股子公司—山西天浩化工股份有限公司（“天浩化工”）签订了《材料供应协议》，约定：如山西金晖不能保证天浩化工建设和生产所需的土地租用，煤气、中煤、水、电供应及铁路运输，将赔偿天浩化工实际损失；如因山西金晖违约导致天浩化工无法继续经营，由山西金晖按照高于项目全部投资总额加同期银行贷款利息的底价价格，购买山西能化持有的天浩化工全部股权，以补偿损失。</w:t>
      </w:r>
    </w:p>
    <w:p w:rsidR="00DE74B1" w:rsidRDefault="00662F63" w:rsidP="00DE74B1">
      <w:pPr>
        <w:spacing w:line="560" w:lineRule="exact"/>
        <w:ind w:firstLineChars="200" w:firstLine="560"/>
        <w:rPr>
          <w:rFonts w:asciiTheme="minorEastAsia" w:eastAsiaTheme="minorEastAsia" w:hAnsiTheme="minorEastAsia"/>
          <w:sz w:val="28"/>
          <w:szCs w:val="28"/>
        </w:rPr>
      </w:pPr>
      <w:r w:rsidRPr="00662F63">
        <w:rPr>
          <w:rFonts w:asciiTheme="minorEastAsia" w:eastAsiaTheme="minorEastAsia" w:hAnsiTheme="minorEastAsia" w:hint="eastAsia"/>
          <w:sz w:val="28"/>
          <w:szCs w:val="28"/>
        </w:rPr>
        <w:lastRenderedPageBreak/>
        <w:t xml:space="preserve"> 因山西金晖未按上述协议约定履行“煤气供应、中煤供应、土地 租用等合同义务”，并擅自停供煤气，导致天浩化工无法继续经营。 2012 年 4 月，天浩化工被迫停产。</w:t>
      </w:r>
    </w:p>
    <w:p w:rsidR="00DE74B1" w:rsidRPr="00EF3E33" w:rsidRDefault="00D8724A" w:rsidP="00D872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2013年9月</w:t>
      </w:r>
      <w:r w:rsidR="0083386B">
        <w:rPr>
          <w:rFonts w:asciiTheme="minorEastAsia" w:eastAsiaTheme="minorEastAsia" w:hAnsiTheme="minorEastAsia" w:hint="eastAsia"/>
          <w:sz w:val="28"/>
          <w:szCs w:val="28"/>
        </w:rPr>
        <w:t>山西能化</w:t>
      </w:r>
      <w:r>
        <w:rPr>
          <w:rFonts w:asciiTheme="minorEastAsia" w:eastAsiaTheme="minorEastAsia" w:hAnsiTheme="minorEastAsia" w:hint="eastAsia"/>
          <w:sz w:val="28"/>
          <w:szCs w:val="28"/>
        </w:rPr>
        <w:t>向北京仲裁委员会提出仲裁，要求</w:t>
      </w:r>
      <w:r w:rsidR="0083386B">
        <w:rPr>
          <w:rFonts w:asciiTheme="minorEastAsia" w:eastAsiaTheme="minorEastAsia" w:hAnsiTheme="minorEastAsia" w:hint="eastAsia"/>
          <w:sz w:val="28"/>
          <w:szCs w:val="28"/>
        </w:rPr>
        <w:t>山西金晖</w:t>
      </w:r>
      <w:r>
        <w:rPr>
          <w:rFonts w:asciiTheme="minorEastAsia" w:eastAsiaTheme="minorEastAsia" w:hAnsiTheme="minorEastAsia" w:hint="eastAsia"/>
          <w:sz w:val="28"/>
          <w:szCs w:val="28"/>
        </w:rPr>
        <w:t>按照协议规定赔偿相应损失。</w:t>
      </w:r>
      <w:r w:rsidR="00DE74B1">
        <w:rPr>
          <w:rFonts w:asciiTheme="minorEastAsia" w:eastAsiaTheme="minorEastAsia" w:hAnsiTheme="minorEastAsia" w:hint="eastAsia"/>
          <w:sz w:val="28"/>
          <w:szCs w:val="28"/>
        </w:rPr>
        <w:t>2015年8月</w:t>
      </w:r>
      <w:r>
        <w:rPr>
          <w:rFonts w:asciiTheme="minorEastAsia" w:eastAsiaTheme="minorEastAsia" w:hAnsiTheme="minorEastAsia" w:hint="eastAsia"/>
          <w:sz w:val="28"/>
          <w:szCs w:val="28"/>
        </w:rPr>
        <w:t>为了充分维护公司及股东利益，</w:t>
      </w:r>
      <w:r w:rsidR="00DE74B1" w:rsidRPr="00662F63">
        <w:rPr>
          <w:rFonts w:asciiTheme="minorEastAsia" w:eastAsiaTheme="minorEastAsia" w:hAnsiTheme="minorEastAsia" w:hint="eastAsia"/>
          <w:sz w:val="28"/>
          <w:szCs w:val="28"/>
        </w:rPr>
        <w:t>山西能化向北京仲</w:t>
      </w:r>
      <w:r w:rsidR="00DE74B1">
        <w:rPr>
          <w:rFonts w:asciiTheme="minorEastAsia" w:eastAsiaTheme="minorEastAsia" w:hAnsiTheme="minorEastAsia" w:hint="eastAsia"/>
          <w:sz w:val="28"/>
          <w:szCs w:val="28"/>
        </w:rPr>
        <w:t>裁委员会申请撤回仲裁请求，并获得</w:t>
      </w:r>
      <w:r w:rsidR="00DE74B1" w:rsidRPr="00662F63">
        <w:rPr>
          <w:rFonts w:asciiTheme="minorEastAsia" w:eastAsiaTheme="minorEastAsia" w:hAnsiTheme="minorEastAsia" w:hint="eastAsia"/>
          <w:sz w:val="28"/>
          <w:szCs w:val="28"/>
        </w:rPr>
        <w:t>北京仲裁委员会撤销仲裁的</w:t>
      </w:r>
      <w:r w:rsidR="00DE74B1">
        <w:rPr>
          <w:rFonts w:asciiTheme="minorEastAsia" w:eastAsiaTheme="minorEastAsia" w:hAnsiTheme="minorEastAsia" w:hint="eastAsia"/>
          <w:sz w:val="28"/>
          <w:szCs w:val="28"/>
        </w:rPr>
        <w:t>批准</w:t>
      </w:r>
      <w:r w:rsidR="00DE74B1" w:rsidRPr="00662F63">
        <w:rPr>
          <w:rFonts w:asciiTheme="minorEastAsia" w:eastAsiaTheme="minorEastAsia" w:hAnsiTheme="minorEastAsia" w:hint="eastAsia"/>
          <w:sz w:val="28"/>
          <w:szCs w:val="28"/>
        </w:rPr>
        <w:t xml:space="preserve">。 </w:t>
      </w:r>
    </w:p>
    <w:p w:rsidR="00EF3E33" w:rsidRPr="00DE74B1" w:rsidRDefault="00F21F53" w:rsidP="00074B4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有关详情请见</w:t>
      </w:r>
      <w:r w:rsidR="00074B45" w:rsidRPr="00074B45">
        <w:rPr>
          <w:rFonts w:asciiTheme="minorEastAsia" w:eastAsiaTheme="minorEastAsia" w:hAnsiTheme="minorEastAsia" w:hint="eastAsia"/>
          <w:sz w:val="28"/>
          <w:szCs w:val="28"/>
        </w:rPr>
        <w:t>公司</w:t>
      </w:r>
      <w:r>
        <w:rPr>
          <w:rFonts w:asciiTheme="minorEastAsia" w:eastAsiaTheme="minorEastAsia" w:hAnsiTheme="minorEastAsia" w:hint="eastAsia"/>
          <w:sz w:val="28"/>
          <w:szCs w:val="28"/>
        </w:rPr>
        <w:t>2013年-2015年的定期报告相关内容及日期为</w:t>
      </w:r>
      <w:r w:rsidR="00D8724A" w:rsidRPr="00074B45">
        <w:rPr>
          <w:rFonts w:asciiTheme="minorEastAsia" w:eastAsiaTheme="minorEastAsia" w:hAnsiTheme="minorEastAsia" w:hint="eastAsia"/>
          <w:sz w:val="28"/>
          <w:szCs w:val="28"/>
        </w:rPr>
        <w:t>2015年8月2</w:t>
      </w:r>
      <w:r>
        <w:rPr>
          <w:rFonts w:asciiTheme="minorEastAsia" w:eastAsiaTheme="minorEastAsia" w:hAnsiTheme="minorEastAsia" w:hint="eastAsia"/>
          <w:sz w:val="28"/>
          <w:szCs w:val="28"/>
        </w:rPr>
        <w:t>4</w:t>
      </w:r>
      <w:r w:rsidR="00D8724A" w:rsidRPr="00074B45">
        <w:rPr>
          <w:rFonts w:asciiTheme="minorEastAsia" w:eastAsiaTheme="minorEastAsia" w:hAnsiTheme="minorEastAsia" w:hint="eastAsia"/>
          <w:sz w:val="28"/>
          <w:szCs w:val="28"/>
        </w:rPr>
        <w:t>日</w:t>
      </w:r>
      <w:r w:rsidR="00074B45" w:rsidRPr="00074B45">
        <w:rPr>
          <w:rFonts w:asciiTheme="minorEastAsia" w:eastAsiaTheme="minorEastAsia" w:hAnsiTheme="minorEastAsia" w:hint="eastAsia"/>
          <w:sz w:val="28"/>
          <w:szCs w:val="28"/>
        </w:rPr>
        <w:t>披露的</w:t>
      </w:r>
      <w:r w:rsidR="00074B45">
        <w:rPr>
          <w:rFonts w:asciiTheme="minorEastAsia" w:eastAsiaTheme="minorEastAsia" w:hAnsiTheme="minorEastAsia" w:hint="eastAsia"/>
          <w:sz w:val="28"/>
          <w:szCs w:val="28"/>
        </w:rPr>
        <w:t>《</w:t>
      </w:r>
      <w:hyperlink r:id="rId7" w:tgtFrame="_blank" w:tooltip="兖州煤业全资子公司仲裁案进展公告" w:history="1">
        <w:r w:rsidR="00D8724A" w:rsidRPr="00074B45">
          <w:rPr>
            <w:rFonts w:asciiTheme="minorEastAsia" w:eastAsiaTheme="minorEastAsia" w:hAnsiTheme="minorEastAsia" w:hint="eastAsia"/>
            <w:sz w:val="28"/>
            <w:szCs w:val="28"/>
          </w:rPr>
          <w:t>兖州煤业全资子公司仲裁案进展公告</w:t>
        </w:r>
      </w:hyperlink>
      <w:r>
        <w:rPr>
          <w:rFonts w:asciiTheme="minorEastAsia" w:eastAsiaTheme="minorEastAsia" w:hAnsiTheme="minorEastAsia" w:hint="eastAsia"/>
          <w:sz w:val="28"/>
          <w:szCs w:val="28"/>
        </w:rPr>
        <w:t>》</w:t>
      </w:r>
      <w:r w:rsidR="00074B45">
        <w:rPr>
          <w:rFonts w:asciiTheme="minorEastAsia" w:eastAsiaTheme="minorEastAsia" w:hAnsiTheme="minorEastAsia" w:hint="eastAsia"/>
          <w:sz w:val="28"/>
          <w:szCs w:val="28"/>
        </w:rPr>
        <w:t>。</w:t>
      </w:r>
    </w:p>
    <w:p w:rsidR="00662F63" w:rsidRDefault="00662F63" w:rsidP="00662F63">
      <w:pPr>
        <w:spacing w:line="560" w:lineRule="exact"/>
        <w:ind w:firstLineChars="200" w:firstLine="560"/>
        <w:rPr>
          <w:rFonts w:asciiTheme="minorEastAsia" w:eastAsiaTheme="minorEastAsia" w:hAnsiTheme="minorEastAsia"/>
          <w:sz w:val="28"/>
          <w:szCs w:val="28"/>
        </w:rPr>
      </w:pPr>
      <w:r w:rsidRPr="00662F63">
        <w:rPr>
          <w:rFonts w:asciiTheme="minorEastAsia" w:eastAsiaTheme="minorEastAsia" w:hAnsiTheme="minorEastAsia" w:hint="eastAsia"/>
          <w:sz w:val="28"/>
          <w:szCs w:val="28"/>
        </w:rPr>
        <w:t xml:space="preserve">二、案件进展情况 </w:t>
      </w:r>
    </w:p>
    <w:p w:rsidR="00EF3E33" w:rsidRPr="00EF3E33" w:rsidRDefault="00D8724A" w:rsidP="00DE74B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经充分研究，为了维护公司及股东利益，公司决定重启</w:t>
      </w:r>
      <w:r w:rsidR="00DE74B1">
        <w:rPr>
          <w:rFonts w:asciiTheme="minorEastAsia" w:eastAsiaTheme="minorEastAsia" w:hAnsiTheme="minorEastAsia" w:hint="eastAsia"/>
          <w:sz w:val="28"/>
          <w:szCs w:val="28"/>
        </w:rPr>
        <w:t>案件</w:t>
      </w:r>
      <w:r>
        <w:rPr>
          <w:rFonts w:asciiTheme="minorEastAsia" w:eastAsiaTheme="minorEastAsia" w:hAnsiTheme="minorEastAsia" w:hint="eastAsia"/>
          <w:sz w:val="28"/>
          <w:szCs w:val="28"/>
        </w:rPr>
        <w:t>仲裁程序</w:t>
      </w:r>
      <w:r w:rsidR="00EF3E3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2017年7月</w:t>
      </w:r>
      <w:r w:rsidR="00EF3E33" w:rsidRPr="00662F63">
        <w:rPr>
          <w:rFonts w:asciiTheme="minorEastAsia" w:eastAsiaTheme="minorEastAsia" w:hAnsiTheme="minorEastAsia" w:hint="eastAsia"/>
          <w:sz w:val="28"/>
          <w:szCs w:val="28"/>
        </w:rPr>
        <w:t>山西能化</w:t>
      </w:r>
      <w:r w:rsidR="00425E93">
        <w:rPr>
          <w:rFonts w:asciiTheme="minorEastAsia" w:eastAsiaTheme="minorEastAsia" w:hAnsiTheme="minorEastAsia" w:hint="eastAsia"/>
          <w:sz w:val="28"/>
          <w:szCs w:val="28"/>
        </w:rPr>
        <w:t>、</w:t>
      </w:r>
      <w:r w:rsidR="00425E93" w:rsidRPr="00662F63">
        <w:rPr>
          <w:rFonts w:asciiTheme="minorEastAsia" w:eastAsiaTheme="minorEastAsia" w:hAnsiTheme="minorEastAsia" w:hint="eastAsia"/>
          <w:sz w:val="28"/>
          <w:szCs w:val="28"/>
        </w:rPr>
        <w:t>天浩化工</w:t>
      </w:r>
      <w:r w:rsidR="00425E93">
        <w:rPr>
          <w:rFonts w:asciiTheme="minorEastAsia" w:eastAsiaTheme="minorEastAsia" w:hAnsiTheme="minorEastAsia" w:hint="eastAsia"/>
          <w:sz w:val="28"/>
          <w:szCs w:val="28"/>
        </w:rPr>
        <w:t>共同</w:t>
      </w:r>
      <w:r w:rsidR="00EF3E33" w:rsidRPr="00662F63">
        <w:rPr>
          <w:rFonts w:asciiTheme="minorEastAsia" w:eastAsiaTheme="minorEastAsia" w:hAnsiTheme="minorEastAsia" w:hint="eastAsia"/>
          <w:sz w:val="28"/>
          <w:szCs w:val="28"/>
        </w:rPr>
        <w:t>向北京仲</w:t>
      </w:r>
      <w:r w:rsidR="00EF3E33">
        <w:rPr>
          <w:rFonts w:asciiTheme="minorEastAsia" w:eastAsiaTheme="minorEastAsia" w:hAnsiTheme="minorEastAsia" w:hint="eastAsia"/>
          <w:sz w:val="28"/>
          <w:szCs w:val="28"/>
        </w:rPr>
        <w:t>裁委员会提请仲裁，要求山西金晖向山西能化、天浩化工赔偿损失</w:t>
      </w:r>
      <w:r w:rsidR="00EF3E33" w:rsidRPr="00662F63">
        <w:rPr>
          <w:rFonts w:asciiTheme="minorEastAsia" w:eastAsiaTheme="minorEastAsia" w:hAnsiTheme="minorEastAsia" w:hint="eastAsia"/>
          <w:sz w:val="28"/>
          <w:szCs w:val="28"/>
        </w:rPr>
        <w:t xml:space="preserve">合计人民币 </w:t>
      </w:r>
      <w:r w:rsidR="00EF3E33">
        <w:rPr>
          <w:rFonts w:asciiTheme="minorEastAsia" w:eastAsiaTheme="minorEastAsia" w:hAnsiTheme="minorEastAsia" w:hint="eastAsia"/>
          <w:sz w:val="28"/>
          <w:szCs w:val="28"/>
        </w:rPr>
        <w:t>3.41亿元</w:t>
      </w:r>
      <w:r w:rsidR="00EF3E33" w:rsidRPr="00662F63">
        <w:rPr>
          <w:rFonts w:asciiTheme="minorEastAsia" w:eastAsiaTheme="minorEastAsia" w:hAnsiTheme="minorEastAsia" w:hint="eastAsia"/>
          <w:sz w:val="28"/>
          <w:szCs w:val="28"/>
        </w:rPr>
        <w:t>。</w:t>
      </w:r>
      <w:r w:rsidR="00EF3E33">
        <w:rPr>
          <w:rFonts w:asciiTheme="minorEastAsia" w:eastAsiaTheme="minorEastAsia" w:hAnsiTheme="minorEastAsia" w:hint="eastAsia"/>
          <w:sz w:val="28"/>
          <w:szCs w:val="28"/>
        </w:rPr>
        <w:t>2017年8月，</w:t>
      </w:r>
      <w:r w:rsidR="00EF3E33" w:rsidRPr="00662F63">
        <w:rPr>
          <w:rFonts w:asciiTheme="minorEastAsia" w:eastAsiaTheme="minorEastAsia" w:hAnsiTheme="minorEastAsia" w:hint="eastAsia"/>
          <w:sz w:val="28"/>
          <w:szCs w:val="28"/>
        </w:rPr>
        <w:t>北京仲</w:t>
      </w:r>
      <w:r w:rsidR="00EF3E33">
        <w:rPr>
          <w:rFonts w:asciiTheme="minorEastAsia" w:eastAsiaTheme="minorEastAsia" w:hAnsiTheme="minorEastAsia" w:hint="eastAsia"/>
          <w:sz w:val="28"/>
          <w:szCs w:val="28"/>
        </w:rPr>
        <w:t>裁委员会受理此</w:t>
      </w:r>
      <w:r w:rsidR="0083386B">
        <w:rPr>
          <w:rFonts w:asciiTheme="minorEastAsia" w:eastAsiaTheme="minorEastAsia" w:hAnsiTheme="minorEastAsia" w:hint="eastAsia"/>
          <w:sz w:val="28"/>
          <w:szCs w:val="28"/>
        </w:rPr>
        <w:t>仲裁</w:t>
      </w:r>
      <w:r w:rsidR="00EF3E33">
        <w:rPr>
          <w:rFonts w:asciiTheme="minorEastAsia" w:eastAsiaTheme="minorEastAsia" w:hAnsiTheme="minorEastAsia" w:hint="eastAsia"/>
          <w:sz w:val="28"/>
          <w:szCs w:val="28"/>
        </w:rPr>
        <w:t>案件。</w:t>
      </w:r>
    </w:p>
    <w:p w:rsidR="00F21F53" w:rsidRPr="00924096" w:rsidRDefault="00F21F53" w:rsidP="00F21F53">
      <w:pPr>
        <w:spacing w:line="560" w:lineRule="exact"/>
        <w:ind w:firstLineChars="200" w:firstLine="560"/>
        <w:rPr>
          <w:rFonts w:ascii="宋体" w:hAnsi="宋体"/>
          <w:sz w:val="28"/>
          <w:szCs w:val="28"/>
        </w:rPr>
      </w:pPr>
      <w:r w:rsidRPr="00924096">
        <w:rPr>
          <w:rFonts w:ascii="宋体" w:hAnsi="宋体" w:hint="eastAsia"/>
          <w:sz w:val="28"/>
          <w:szCs w:val="28"/>
        </w:rPr>
        <w:t>三、诉讼判决情况</w:t>
      </w:r>
    </w:p>
    <w:p w:rsidR="00F21F53" w:rsidRPr="00924096" w:rsidRDefault="00F21F53" w:rsidP="00F21F53">
      <w:pPr>
        <w:spacing w:line="560" w:lineRule="exact"/>
        <w:ind w:firstLineChars="196" w:firstLine="549"/>
        <w:rPr>
          <w:rFonts w:ascii="宋体" w:hAnsi="宋体"/>
          <w:sz w:val="28"/>
          <w:szCs w:val="28"/>
        </w:rPr>
      </w:pPr>
      <w:r w:rsidRPr="00924096">
        <w:rPr>
          <w:rFonts w:ascii="宋体" w:hAnsi="宋体" w:hint="eastAsia"/>
          <w:sz w:val="28"/>
          <w:szCs w:val="28"/>
        </w:rPr>
        <w:t>以上案件正在</w:t>
      </w:r>
      <w:r>
        <w:rPr>
          <w:rFonts w:ascii="宋体" w:hAnsi="宋体" w:hint="eastAsia"/>
          <w:sz w:val="28"/>
          <w:szCs w:val="28"/>
        </w:rPr>
        <w:t>仲裁</w:t>
      </w:r>
      <w:r w:rsidRPr="00924096">
        <w:rPr>
          <w:rFonts w:ascii="宋体" w:hAnsi="宋体" w:hint="eastAsia"/>
          <w:sz w:val="28"/>
          <w:szCs w:val="28"/>
        </w:rPr>
        <w:t>程序中</w:t>
      </w:r>
      <w:r>
        <w:rPr>
          <w:rFonts w:ascii="宋体" w:hAnsi="宋体" w:hint="eastAsia"/>
          <w:sz w:val="28"/>
          <w:szCs w:val="28"/>
        </w:rPr>
        <w:t>，尚无判决结果。</w:t>
      </w:r>
    </w:p>
    <w:p w:rsidR="00F21F53" w:rsidRPr="00924096" w:rsidRDefault="00F21F53" w:rsidP="00F21F53">
      <w:pPr>
        <w:spacing w:line="560" w:lineRule="exact"/>
        <w:ind w:firstLineChars="200" w:firstLine="560"/>
        <w:rPr>
          <w:rFonts w:ascii="宋体" w:hAnsi="宋体"/>
          <w:sz w:val="28"/>
          <w:szCs w:val="28"/>
        </w:rPr>
      </w:pPr>
      <w:r w:rsidRPr="00924096">
        <w:rPr>
          <w:rFonts w:ascii="宋体" w:hAnsi="宋体" w:hint="eastAsia"/>
          <w:sz w:val="28"/>
          <w:szCs w:val="28"/>
        </w:rPr>
        <w:t>四、本次诉讼事项对公司本期利润或期后利润的影响</w:t>
      </w:r>
    </w:p>
    <w:p w:rsidR="00F21F53" w:rsidRPr="00924096" w:rsidRDefault="00F21F53" w:rsidP="00F21F53">
      <w:pPr>
        <w:spacing w:line="560" w:lineRule="exact"/>
        <w:ind w:firstLineChars="196" w:firstLine="549"/>
        <w:rPr>
          <w:rFonts w:ascii="宋体" w:hAnsi="宋体"/>
          <w:sz w:val="28"/>
          <w:szCs w:val="28"/>
        </w:rPr>
      </w:pPr>
      <w:r w:rsidRPr="00924096">
        <w:rPr>
          <w:rFonts w:ascii="宋体" w:hAnsi="宋体" w:hint="eastAsia"/>
          <w:sz w:val="28"/>
          <w:szCs w:val="28"/>
        </w:rPr>
        <w:t>由于案件尚未</w:t>
      </w:r>
      <w:r w:rsidR="005137C4">
        <w:rPr>
          <w:rFonts w:ascii="宋体" w:hAnsi="宋体" w:hint="eastAsia"/>
          <w:sz w:val="28"/>
          <w:szCs w:val="28"/>
        </w:rPr>
        <w:t>最终裁定</w:t>
      </w:r>
      <w:r w:rsidRPr="00924096">
        <w:rPr>
          <w:rFonts w:ascii="宋体" w:hAnsi="宋体" w:hint="eastAsia"/>
          <w:sz w:val="28"/>
          <w:szCs w:val="28"/>
        </w:rPr>
        <w:t>，尚无法判断对公司本期利润或期后利润的影响。</w:t>
      </w:r>
    </w:p>
    <w:p w:rsidR="00F21F53" w:rsidRPr="00924096" w:rsidRDefault="00F21F53" w:rsidP="00F21F53">
      <w:pPr>
        <w:spacing w:line="560" w:lineRule="exact"/>
        <w:ind w:firstLineChars="200" w:firstLine="560"/>
        <w:rPr>
          <w:rFonts w:ascii="宋体" w:hAnsi="宋体"/>
          <w:sz w:val="28"/>
          <w:szCs w:val="28"/>
        </w:rPr>
      </w:pPr>
      <w:r w:rsidRPr="00924096">
        <w:rPr>
          <w:rFonts w:ascii="宋体" w:hAnsi="宋体" w:hint="eastAsia"/>
          <w:sz w:val="28"/>
          <w:szCs w:val="28"/>
        </w:rPr>
        <w:t>公司将根据上述案件进展情况，及时履行信息披露义务。</w:t>
      </w:r>
    </w:p>
    <w:p w:rsidR="00F21F53" w:rsidRPr="00924096" w:rsidRDefault="00F21F53" w:rsidP="00F21F53">
      <w:pPr>
        <w:spacing w:line="560" w:lineRule="exact"/>
        <w:ind w:firstLineChars="200" w:firstLine="560"/>
        <w:rPr>
          <w:rFonts w:ascii="宋体"/>
          <w:sz w:val="28"/>
          <w:szCs w:val="28"/>
        </w:rPr>
      </w:pPr>
      <w:r w:rsidRPr="00924096">
        <w:rPr>
          <w:rFonts w:ascii="宋体" w:hAnsi="宋体" w:hint="eastAsia"/>
          <w:sz w:val="28"/>
          <w:szCs w:val="28"/>
        </w:rPr>
        <w:t>特此公告。</w:t>
      </w:r>
    </w:p>
    <w:p w:rsidR="00662F63" w:rsidRDefault="00662F63" w:rsidP="003E27BB">
      <w:pPr>
        <w:spacing w:line="560" w:lineRule="exact"/>
        <w:rPr>
          <w:rFonts w:asciiTheme="minorEastAsia" w:eastAsiaTheme="minorEastAsia" w:hAnsiTheme="minorEastAsia"/>
          <w:sz w:val="28"/>
          <w:szCs w:val="28"/>
        </w:rPr>
      </w:pPr>
    </w:p>
    <w:p w:rsidR="00662F63" w:rsidRDefault="00662F63" w:rsidP="00FD6029">
      <w:pPr>
        <w:spacing w:line="560" w:lineRule="exact"/>
        <w:ind w:firstLineChars="1700" w:firstLine="4760"/>
        <w:rPr>
          <w:rFonts w:asciiTheme="minorEastAsia" w:eastAsiaTheme="minorEastAsia" w:hAnsiTheme="minorEastAsia"/>
          <w:sz w:val="28"/>
          <w:szCs w:val="28"/>
        </w:rPr>
      </w:pPr>
      <w:r w:rsidRPr="00662F63">
        <w:rPr>
          <w:rFonts w:asciiTheme="minorEastAsia" w:eastAsiaTheme="minorEastAsia" w:hAnsiTheme="minorEastAsia" w:hint="eastAsia"/>
          <w:sz w:val="28"/>
          <w:szCs w:val="28"/>
        </w:rPr>
        <w:t>兖州煤业股份有限公司董事会</w:t>
      </w:r>
    </w:p>
    <w:p w:rsidR="007B2097" w:rsidRPr="00662F63" w:rsidRDefault="00662F63" w:rsidP="00FD6029">
      <w:pPr>
        <w:spacing w:line="560" w:lineRule="exact"/>
        <w:ind w:firstLineChars="1900" w:firstLine="5320"/>
        <w:rPr>
          <w:rFonts w:asciiTheme="minorEastAsia" w:eastAsiaTheme="minorEastAsia" w:hAnsiTheme="minorEastAsia" w:cs="宋体"/>
          <w:sz w:val="28"/>
          <w:szCs w:val="28"/>
        </w:rPr>
      </w:pPr>
      <w:r w:rsidRPr="00662F63">
        <w:rPr>
          <w:rFonts w:asciiTheme="minorEastAsia" w:eastAsiaTheme="minorEastAsia" w:hAnsiTheme="minorEastAsia" w:hint="eastAsia"/>
          <w:sz w:val="28"/>
          <w:szCs w:val="28"/>
        </w:rPr>
        <w:t xml:space="preserve"> </w:t>
      </w:r>
      <w:r w:rsidR="003D2E9A">
        <w:rPr>
          <w:rFonts w:asciiTheme="minorEastAsia" w:eastAsiaTheme="minorEastAsia" w:hAnsiTheme="minorEastAsia" w:hint="eastAsia"/>
          <w:sz w:val="28"/>
          <w:szCs w:val="28"/>
        </w:rPr>
        <w:t>2017</w:t>
      </w:r>
      <w:r w:rsidRPr="00662F63">
        <w:rPr>
          <w:rFonts w:asciiTheme="minorEastAsia" w:eastAsiaTheme="minorEastAsia" w:hAnsiTheme="minorEastAsia" w:hint="eastAsia"/>
          <w:sz w:val="28"/>
          <w:szCs w:val="28"/>
        </w:rPr>
        <w:t>年</w:t>
      </w:r>
      <w:r w:rsidR="003D2E9A">
        <w:rPr>
          <w:rFonts w:asciiTheme="minorEastAsia" w:eastAsiaTheme="minorEastAsia" w:hAnsiTheme="minorEastAsia" w:hint="eastAsia"/>
          <w:sz w:val="28"/>
          <w:szCs w:val="28"/>
        </w:rPr>
        <w:t>9</w:t>
      </w:r>
      <w:r w:rsidRPr="00662F63">
        <w:rPr>
          <w:rFonts w:asciiTheme="minorEastAsia" w:eastAsiaTheme="minorEastAsia" w:hAnsiTheme="minorEastAsia" w:hint="eastAsia"/>
          <w:sz w:val="28"/>
          <w:szCs w:val="28"/>
        </w:rPr>
        <w:t>月</w:t>
      </w:r>
      <w:r w:rsidR="00BF41FC">
        <w:rPr>
          <w:rFonts w:asciiTheme="minorEastAsia" w:eastAsiaTheme="minorEastAsia" w:hAnsiTheme="minorEastAsia" w:hint="eastAsia"/>
          <w:sz w:val="28"/>
          <w:szCs w:val="28"/>
        </w:rPr>
        <w:t>7</w:t>
      </w:r>
      <w:r w:rsidRPr="00662F63">
        <w:rPr>
          <w:rFonts w:asciiTheme="minorEastAsia" w:eastAsiaTheme="minorEastAsia" w:hAnsiTheme="minorEastAsia" w:hint="eastAsia"/>
          <w:sz w:val="28"/>
          <w:szCs w:val="28"/>
        </w:rPr>
        <w:t>日</w:t>
      </w:r>
    </w:p>
    <w:sectPr w:rsidR="007B2097" w:rsidRPr="00662F63" w:rsidSect="0094651D">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B3C" w:rsidRDefault="00C61B3C" w:rsidP="00253B0C">
      <w:r>
        <w:separator/>
      </w:r>
    </w:p>
  </w:endnote>
  <w:endnote w:type="continuationSeparator" w:id="1">
    <w:p w:rsidR="00C61B3C" w:rsidRDefault="00C61B3C" w:rsidP="00253B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B3C" w:rsidRDefault="00C61B3C" w:rsidP="00253B0C">
      <w:r>
        <w:separator/>
      </w:r>
    </w:p>
  </w:footnote>
  <w:footnote w:type="continuationSeparator" w:id="1">
    <w:p w:rsidR="00C61B3C" w:rsidRDefault="00C61B3C" w:rsidP="00253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DCA"/>
    <w:multiLevelType w:val="hybridMultilevel"/>
    <w:tmpl w:val="2604E442"/>
    <w:lvl w:ilvl="0" w:tplc="04090001">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EBA"/>
    <w:rsid w:val="0001594D"/>
    <w:rsid w:val="00015ED4"/>
    <w:rsid w:val="00045EA3"/>
    <w:rsid w:val="00053724"/>
    <w:rsid w:val="000673B2"/>
    <w:rsid w:val="00074B45"/>
    <w:rsid w:val="00090D79"/>
    <w:rsid w:val="000C7E6D"/>
    <w:rsid w:val="000D2201"/>
    <w:rsid w:val="000D5C21"/>
    <w:rsid w:val="00103FDB"/>
    <w:rsid w:val="00107CEF"/>
    <w:rsid w:val="00143091"/>
    <w:rsid w:val="00152ADD"/>
    <w:rsid w:val="00165709"/>
    <w:rsid w:val="00191720"/>
    <w:rsid w:val="001B7132"/>
    <w:rsid w:val="001E5D6D"/>
    <w:rsid w:val="002029EB"/>
    <w:rsid w:val="00234434"/>
    <w:rsid w:val="00253B0C"/>
    <w:rsid w:val="002613CE"/>
    <w:rsid w:val="00261F8C"/>
    <w:rsid w:val="002824A5"/>
    <w:rsid w:val="002932AD"/>
    <w:rsid w:val="002B19B0"/>
    <w:rsid w:val="002C4367"/>
    <w:rsid w:val="003270CC"/>
    <w:rsid w:val="00331EA7"/>
    <w:rsid w:val="003336A6"/>
    <w:rsid w:val="00350FD7"/>
    <w:rsid w:val="00373D96"/>
    <w:rsid w:val="00383744"/>
    <w:rsid w:val="00393D76"/>
    <w:rsid w:val="003B4781"/>
    <w:rsid w:val="003D2E9A"/>
    <w:rsid w:val="003E27BB"/>
    <w:rsid w:val="003F5D76"/>
    <w:rsid w:val="003F6AA4"/>
    <w:rsid w:val="00402192"/>
    <w:rsid w:val="004114AC"/>
    <w:rsid w:val="00421301"/>
    <w:rsid w:val="00425703"/>
    <w:rsid w:val="00425E93"/>
    <w:rsid w:val="00426A0B"/>
    <w:rsid w:val="00431E78"/>
    <w:rsid w:val="004640ED"/>
    <w:rsid w:val="004A0AF9"/>
    <w:rsid w:val="004A106D"/>
    <w:rsid w:val="004A3FBD"/>
    <w:rsid w:val="004A4D6C"/>
    <w:rsid w:val="004C05BD"/>
    <w:rsid w:val="004D1EBD"/>
    <w:rsid w:val="004E2230"/>
    <w:rsid w:val="00501E8A"/>
    <w:rsid w:val="005137C4"/>
    <w:rsid w:val="00527E2C"/>
    <w:rsid w:val="00532EDB"/>
    <w:rsid w:val="0054585F"/>
    <w:rsid w:val="00556E8E"/>
    <w:rsid w:val="00563624"/>
    <w:rsid w:val="00591EAC"/>
    <w:rsid w:val="005A3317"/>
    <w:rsid w:val="005B5781"/>
    <w:rsid w:val="005B64A2"/>
    <w:rsid w:val="005D34BE"/>
    <w:rsid w:val="005D52A2"/>
    <w:rsid w:val="005F3470"/>
    <w:rsid w:val="005F40AD"/>
    <w:rsid w:val="0060199E"/>
    <w:rsid w:val="006132F6"/>
    <w:rsid w:val="006244B2"/>
    <w:rsid w:val="00624511"/>
    <w:rsid w:val="006368AB"/>
    <w:rsid w:val="00662F63"/>
    <w:rsid w:val="006750FD"/>
    <w:rsid w:val="00675CCB"/>
    <w:rsid w:val="00680D36"/>
    <w:rsid w:val="00681D9E"/>
    <w:rsid w:val="00692B9F"/>
    <w:rsid w:val="00695BD3"/>
    <w:rsid w:val="00697D1C"/>
    <w:rsid w:val="006A7458"/>
    <w:rsid w:val="006B0640"/>
    <w:rsid w:val="006B7DF7"/>
    <w:rsid w:val="006C7449"/>
    <w:rsid w:val="006F29A3"/>
    <w:rsid w:val="0070238A"/>
    <w:rsid w:val="00726B18"/>
    <w:rsid w:val="007325FF"/>
    <w:rsid w:val="0073300F"/>
    <w:rsid w:val="00743BC4"/>
    <w:rsid w:val="007559D4"/>
    <w:rsid w:val="007914C0"/>
    <w:rsid w:val="007A139D"/>
    <w:rsid w:val="007B2097"/>
    <w:rsid w:val="007B7298"/>
    <w:rsid w:val="007D5D89"/>
    <w:rsid w:val="00802465"/>
    <w:rsid w:val="0083386B"/>
    <w:rsid w:val="0083791E"/>
    <w:rsid w:val="00847E5B"/>
    <w:rsid w:val="008735CD"/>
    <w:rsid w:val="008B580D"/>
    <w:rsid w:val="008B6AFA"/>
    <w:rsid w:val="008E5BE0"/>
    <w:rsid w:val="008F2215"/>
    <w:rsid w:val="00924096"/>
    <w:rsid w:val="0094651D"/>
    <w:rsid w:val="00972724"/>
    <w:rsid w:val="00981DE2"/>
    <w:rsid w:val="009A03A1"/>
    <w:rsid w:val="009A7398"/>
    <w:rsid w:val="009C3430"/>
    <w:rsid w:val="009E4D2E"/>
    <w:rsid w:val="00A11B88"/>
    <w:rsid w:val="00A13FDB"/>
    <w:rsid w:val="00A266DB"/>
    <w:rsid w:val="00A617FF"/>
    <w:rsid w:val="00A71451"/>
    <w:rsid w:val="00A80BAD"/>
    <w:rsid w:val="00A95D3F"/>
    <w:rsid w:val="00A96BAA"/>
    <w:rsid w:val="00AA1DFD"/>
    <w:rsid w:val="00B13474"/>
    <w:rsid w:val="00B14570"/>
    <w:rsid w:val="00B51B29"/>
    <w:rsid w:val="00B5744E"/>
    <w:rsid w:val="00B638F6"/>
    <w:rsid w:val="00B878B6"/>
    <w:rsid w:val="00BC5739"/>
    <w:rsid w:val="00BF41FC"/>
    <w:rsid w:val="00BF60C9"/>
    <w:rsid w:val="00C11F4C"/>
    <w:rsid w:val="00C1253E"/>
    <w:rsid w:val="00C135E5"/>
    <w:rsid w:val="00C212FE"/>
    <w:rsid w:val="00C43890"/>
    <w:rsid w:val="00C61B3C"/>
    <w:rsid w:val="00CB2C1E"/>
    <w:rsid w:val="00CE16E0"/>
    <w:rsid w:val="00CF21E5"/>
    <w:rsid w:val="00D45843"/>
    <w:rsid w:val="00D8724A"/>
    <w:rsid w:val="00DB1166"/>
    <w:rsid w:val="00DC125F"/>
    <w:rsid w:val="00DD0FC9"/>
    <w:rsid w:val="00DE74B1"/>
    <w:rsid w:val="00E00E32"/>
    <w:rsid w:val="00E06AD1"/>
    <w:rsid w:val="00E3535F"/>
    <w:rsid w:val="00E4539E"/>
    <w:rsid w:val="00E52432"/>
    <w:rsid w:val="00E76E4E"/>
    <w:rsid w:val="00E80F50"/>
    <w:rsid w:val="00E86EA2"/>
    <w:rsid w:val="00E94F29"/>
    <w:rsid w:val="00EE13D2"/>
    <w:rsid w:val="00EF15EA"/>
    <w:rsid w:val="00EF1EBA"/>
    <w:rsid w:val="00EF3E33"/>
    <w:rsid w:val="00F21F53"/>
    <w:rsid w:val="00F31339"/>
    <w:rsid w:val="00F40074"/>
    <w:rsid w:val="00F66781"/>
    <w:rsid w:val="00F81802"/>
    <w:rsid w:val="00FA1284"/>
    <w:rsid w:val="00FA37F5"/>
    <w:rsid w:val="00FB660E"/>
    <w:rsid w:val="00FC1260"/>
    <w:rsid w:val="00FD6029"/>
    <w:rsid w:val="00FE281D"/>
    <w:rsid w:val="00FE2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4651D"/>
    <w:rPr>
      <w:rFonts w:ascii="宋体" w:hAnsi="Courier New" w:cs="Courier New"/>
      <w:szCs w:val="21"/>
    </w:rPr>
  </w:style>
  <w:style w:type="character" w:customStyle="1" w:styleId="Char">
    <w:name w:val="纯文本 Char"/>
    <w:basedOn w:val="a0"/>
    <w:link w:val="a3"/>
    <w:uiPriority w:val="99"/>
    <w:rsid w:val="0094651D"/>
    <w:rPr>
      <w:rFonts w:ascii="宋体" w:eastAsia="宋体" w:hAnsi="Courier New" w:cs="Courier New"/>
      <w:szCs w:val="21"/>
    </w:rPr>
  </w:style>
  <w:style w:type="paragraph" w:styleId="a4">
    <w:name w:val="header"/>
    <w:basedOn w:val="a"/>
    <w:link w:val="Char0"/>
    <w:uiPriority w:val="99"/>
    <w:semiHidden/>
    <w:unhideWhenUsed/>
    <w:rsid w:val="00253B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53B0C"/>
    <w:rPr>
      <w:sz w:val="18"/>
      <w:szCs w:val="18"/>
    </w:rPr>
  </w:style>
  <w:style w:type="paragraph" w:styleId="a5">
    <w:name w:val="footer"/>
    <w:basedOn w:val="a"/>
    <w:link w:val="Char1"/>
    <w:uiPriority w:val="99"/>
    <w:semiHidden/>
    <w:unhideWhenUsed/>
    <w:rsid w:val="00253B0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53B0C"/>
    <w:rPr>
      <w:sz w:val="18"/>
      <w:szCs w:val="18"/>
    </w:rPr>
  </w:style>
  <w:style w:type="character" w:styleId="a6">
    <w:name w:val="Emphasis"/>
    <w:basedOn w:val="a0"/>
    <w:uiPriority w:val="20"/>
    <w:qFormat/>
    <w:rsid w:val="00D8724A"/>
    <w:rPr>
      <w:i/>
      <w:iCs/>
    </w:rPr>
  </w:style>
  <w:style w:type="character" w:styleId="a7">
    <w:name w:val="Hyperlink"/>
    <w:basedOn w:val="a0"/>
    <w:uiPriority w:val="99"/>
    <w:semiHidden/>
    <w:unhideWhenUsed/>
    <w:rsid w:val="00D8724A"/>
    <w:rPr>
      <w:color w:val="0000FF"/>
      <w:u w:val="single"/>
    </w:rPr>
  </w:style>
  <w:style w:type="paragraph" w:styleId="a8">
    <w:name w:val="Balloon Text"/>
    <w:basedOn w:val="a"/>
    <w:link w:val="Char2"/>
    <w:uiPriority w:val="99"/>
    <w:semiHidden/>
    <w:unhideWhenUsed/>
    <w:rsid w:val="00331EA7"/>
    <w:rPr>
      <w:sz w:val="18"/>
      <w:szCs w:val="18"/>
    </w:rPr>
  </w:style>
  <w:style w:type="character" w:customStyle="1" w:styleId="Char2">
    <w:name w:val="批注框文本 Char"/>
    <w:basedOn w:val="a0"/>
    <w:link w:val="a8"/>
    <w:uiPriority w:val="99"/>
    <w:semiHidden/>
    <w:rsid w:val="00331EA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ic.sse.com.cn/disclosure/listedinfo/announcement/c/2015-08-25/600188_20150825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msc</cp:lastModifiedBy>
  <cp:revision>23</cp:revision>
  <cp:lastPrinted>2017-09-06T03:05:00Z</cp:lastPrinted>
  <dcterms:created xsi:type="dcterms:W3CDTF">2017-09-05T07:53:00Z</dcterms:created>
  <dcterms:modified xsi:type="dcterms:W3CDTF">2017-09-07T09:08:00Z</dcterms:modified>
</cp:coreProperties>
</file>