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2C" w:rsidRPr="00A7439D" w:rsidRDefault="00527E2C" w:rsidP="00527E2C">
      <w:pPr>
        <w:rPr>
          <w:rFonts w:ascii="黑体" w:eastAsia="黑体" w:hAnsi="黑体"/>
        </w:rPr>
      </w:pPr>
      <w:r w:rsidRPr="00A7439D">
        <w:rPr>
          <w:rFonts w:ascii="黑体" w:eastAsia="黑体" w:hAnsi="黑体" w:hint="eastAsia"/>
        </w:rPr>
        <w:t>证券代码：</w:t>
      </w:r>
      <w:r w:rsidRPr="00A7439D">
        <w:rPr>
          <w:rFonts w:ascii="黑体" w:eastAsia="黑体" w:hAnsi="黑体"/>
        </w:rPr>
        <w:t xml:space="preserve">600188             </w:t>
      </w:r>
      <w:r w:rsidRPr="00A7439D">
        <w:rPr>
          <w:rFonts w:ascii="黑体" w:eastAsia="黑体" w:hAnsi="黑体" w:hint="eastAsia"/>
        </w:rPr>
        <w:t>证券简称：兖州煤业</w:t>
      </w:r>
      <w:r w:rsidRPr="00A7439D">
        <w:rPr>
          <w:rFonts w:ascii="黑体" w:eastAsia="黑体" w:hAnsi="黑体"/>
        </w:rPr>
        <w:t xml:space="preserve">             </w:t>
      </w:r>
      <w:r w:rsidRPr="00A7439D">
        <w:rPr>
          <w:rFonts w:ascii="黑体" w:eastAsia="黑体" w:hAnsi="黑体" w:hint="eastAsia"/>
        </w:rPr>
        <w:t>公告编号：</w:t>
      </w:r>
      <w:r w:rsidRPr="00A7439D">
        <w:rPr>
          <w:rFonts w:ascii="黑体" w:eastAsia="黑体" w:hAnsi="黑体"/>
        </w:rPr>
        <w:t>201</w:t>
      </w:r>
      <w:r w:rsidR="00E06AD1" w:rsidRPr="00A7439D">
        <w:rPr>
          <w:rFonts w:ascii="黑体" w:eastAsia="黑体" w:hAnsi="黑体" w:hint="eastAsia"/>
        </w:rPr>
        <w:t>7</w:t>
      </w:r>
      <w:r w:rsidRPr="00A7439D">
        <w:rPr>
          <w:rFonts w:ascii="黑体" w:eastAsia="黑体" w:hAnsi="黑体"/>
        </w:rPr>
        <w:t>-</w:t>
      </w:r>
      <w:r w:rsidR="0019263D" w:rsidRPr="00A7439D">
        <w:rPr>
          <w:rFonts w:ascii="黑体" w:eastAsia="黑体" w:hAnsi="黑体" w:hint="eastAsia"/>
        </w:rPr>
        <w:t>074</w:t>
      </w:r>
    </w:p>
    <w:p w:rsidR="00527E2C" w:rsidRPr="00433677" w:rsidRDefault="00527E2C" w:rsidP="00983C2E">
      <w:pPr>
        <w:spacing w:beforeLines="50" w:afterLines="50" w:line="56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 w:rsidRPr="00433677">
        <w:rPr>
          <w:rFonts w:ascii="黑体" w:eastAsia="黑体" w:hint="eastAsia"/>
          <w:b/>
          <w:bCs/>
          <w:color w:val="FF0000"/>
          <w:sz w:val="36"/>
          <w:szCs w:val="36"/>
        </w:rPr>
        <w:t>兖州煤业股份有限公司</w:t>
      </w:r>
      <w:r>
        <w:rPr>
          <w:rFonts w:ascii="黑体" w:eastAsia="黑体" w:hint="eastAsia"/>
          <w:b/>
          <w:bCs/>
          <w:color w:val="FF0000"/>
          <w:sz w:val="36"/>
          <w:szCs w:val="36"/>
        </w:rPr>
        <w:t>涉及诉讼</w:t>
      </w:r>
      <w:r w:rsidRPr="00433677">
        <w:rPr>
          <w:rFonts w:ascii="黑体" w:eastAsia="黑体" w:hint="eastAsia"/>
          <w:b/>
          <w:bCs/>
          <w:color w:val="FF0000"/>
          <w:sz w:val="36"/>
          <w:szCs w:val="36"/>
        </w:rPr>
        <w:t>公告</w:t>
      </w:r>
    </w:p>
    <w:p w:rsidR="00527E2C" w:rsidRDefault="00527E2C" w:rsidP="00527E2C">
      <w:pPr>
        <w:rPr>
          <w:rFonts w:ascii="宋体"/>
          <w:sz w:val="30"/>
          <w:szCs w:val="30"/>
        </w:rPr>
      </w:pPr>
    </w:p>
    <w:p w:rsidR="00527E2C" w:rsidRPr="00E657A6" w:rsidRDefault="00B341B7" w:rsidP="00527E2C">
      <w:pPr>
        <w:ind w:firstLineChars="200" w:firstLine="420"/>
        <w:rPr>
          <w:rFonts w:ascii="仿宋_GB2312" w:eastAsia="仿宋_GB2312" w:hAnsi="宋体"/>
          <w:b/>
          <w:sz w:val="30"/>
          <w:szCs w:val="30"/>
        </w:rPr>
      </w:pPr>
      <w:r w:rsidRPr="00B341B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pt;margin-top:-27.15pt;width:423pt;height:77.2pt;z-index:251660288">
            <v:textbox style="mso-next-textbox:#_x0000_s2050">
              <w:txbxContent>
                <w:p w:rsidR="00527E2C" w:rsidRPr="00E17545" w:rsidRDefault="00527E2C" w:rsidP="00527E2C">
                  <w:pPr>
                    <w:adjustRightInd w:val="0"/>
                    <w:snapToGrid w:val="0"/>
                    <w:spacing w:line="480" w:lineRule="exact"/>
                    <w:ind w:firstLineChars="200" w:firstLine="560"/>
                    <w:rPr>
                      <w:sz w:val="28"/>
                    </w:rPr>
                  </w:pPr>
                  <w:r w:rsidRPr="00E17545">
                    <w:rPr>
                      <w:rFonts w:hint="eastAsia"/>
                      <w:sz w:val="28"/>
                    </w:rPr>
                    <w:t>本公司董事会及全体董事保证本公告内容不存在任何虚假记载、误导性陈述或者重大遗漏，并对其内容的真实性、准确性和完整性承担个别及连带责任。</w:t>
                  </w:r>
                </w:p>
              </w:txbxContent>
            </v:textbox>
          </v:shape>
        </w:pict>
      </w:r>
    </w:p>
    <w:p w:rsidR="00527E2C" w:rsidRPr="00E657A6" w:rsidRDefault="00527E2C" w:rsidP="00527E2C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527E2C" w:rsidRPr="00963519" w:rsidRDefault="00527E2C" w:rsidP="00527E2C">
      <w:pPr>
        <w:tabs>
          <w:tab w:val="num" w:pos="1500"/>
        </w:tabs>
        <w:adjustRightInd w:val="0"/>
        <w:snapToGrid w:val="0"/>
        <w:spacing w:line="360" w:lineRule="auto"/>
        <w:ind w:firstLine="555"/>
        <w:rPr>
          <w:rFonts w:ascii="宋体"/>
          <w:b/>
          <w:sz w:val="24"/>
        </w:rPr>
      </w:pPr>
      <w:r w:rsidRPr="00963519">
        <w:rPr>
          <w:rFonts w:ascii="宋体" w:hAnsi="宋体" w:hint="eastAsia"/>
          <w:b/>
          <w:sz w:val="24"/>
        </w:rPr>
        <w:t>重要内容提示</w:t>
      </w:r>
      <w:r w:rsidRPr="00963519">
        <w:rPr>
          <w:rFonts w:ascii="宋体" w:hAnsi="宋体"/>
          <w:b/>
          <w:sz w:val="24"/>
        </w:rPr>
        <w:t>:</w:t>
      </w:r>
    </w:p>
    <w:p w:rsidR="00527E2C" w:rsidRPr="00EF0620" w:rsidRDefault="00527E2C" w:rsidP="00527E2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560"/>
        <w:rPr>
          <w:rFonts w:ascii="宋体"/>
          <w:sz w:val="28"/>
          <w:szCs w:val="28"/>
        </w:rPr>
      </w:pPr>
      <w:r w:rsidRPr="00EF0620">
        <w:rPr>
          <w:rFonts w:ascii="宋体" w:hAnsi="宋体" w:hint="eastAsia"/>
          <w:sz w:val="28"/>
          <w:szCs w:val="28"/>
        </w:rPr>
        <w:t>案件所处的诉讼阶段：</w:t>
      </w:r>
      <w:r>
        <w:rPr>
          <w:rFonts w:ascii="宋体" w:hAnsi="宋体" w:hint="eastAsia"/>
          <w:sz w:val="28"/>
          <w:szCs w:val="28"/>
        </w:rPr>
        <w:t>一审</w:t>
      </w:r>
    </w:p>
    <w:p w:rsidR="00527E2C" w:rsidRPr="00EF0620" w:rsidRDefault="00527E2C" w:rsidP="00527E2C">
      <w:pPr>
        <w:numPr>
          <w:ilvl w:val="0"/>
          <w:numId w:val="1"/>
        </w:numPr>
        <w:adjustRightInd w:val="0"/>
        <w:snapToGrid w:val="0"/>
        <w:spacing w:line="360" w:lineRule="auto"/>
        <w:ind w:left="0" w:firstLineChars="200" w:firstLine="560"/>
        <w:rPr>
          <w:rFonts w:ascii="宋体"/>
          <w:sz w:val="28"/>
          <w:szCs w:val="28"/>
        </w:rPr>
      </w:pPr>
      <w:r w:rsidRPr="00EF0620">
        <w:rPr>
          <w:rFonts w:ascii="宋体" w:hAnsi="宋体" w:hint="eastAsia"/>
          <w:sz w:val="28"/>
          <w:szCs w:val="28"/>
        </w:rPr>
        <w:t>上市公司所处的当事人地位：</w:t>
      </w:r>
      <w:r>
        <w:rPr>
          <w:rFonts w:ascii="宋体" w:hAnsi="宋体" w:hint="eastAsia"/>
          <w:sz w:val="28"/>
          <w:szCs w:val="28"/>
        </w:rPr>
        <w:t>被告人</w:t>
      </w:r>
    </w:p>
    <w:p w:rsidR="00527E2C" w:rsidRPr="000428B9" w:rsidRDefault="00527E2C" w:rsidP="00527E2C">
      <w:pPr>
        <w:numPr>
          <w:ilvl w:val="0"/>
          <w:numId w:val="1"/>
        </w:numPr>
        <w:adjustRightInd w:val="0"/>
        <w:snapToGrid w:val="0"/>
        <w:spacing w:line="360" w:lineRule="auto"/>
        <w:ind w:leftChars="270" w:left="850" w:hangingChars="101" w:hanging="283"/>
        <w:rPr>
          <w:rFonts w:ascii="宋体" w:hAnsi="宋体"/>
          <w:sz w:val="28"/>
          <w:szCs w:val="28"/>
        </w:rPr>
      </w:pPr>
      <w:r w:rsidRPr="000428B9">
        <w:rPr>
          <w:rFonts w:ascii="宋体" w:hAnsi="宋体" w:hint="eastAsia"/>
          <w:sz w:val="28"/>
          <w:szCs w:val="28"/>
        </w:rPr>
        <w:t>涉案金额：</w:t>
      </w:r>
      <w:r w:rsidR="006E18B8" w:rsidRPr="000428B9">
        <w:rPr>
          <w:rFonts w:ascii="宋体" w:hAnsi="宋体" w:hint="eastAsia"/>
          <w:sz w:val="28"/>
          <w:szCs w:val="28"/>
        </w:rPr>
        <w:t>本金人民币</w:t>
      </w:r>
      <w:r w:rsidR="00FE281D" w:rsidRPr="000428B9">
        <w:rPr>
          <w:rFonts w:ascii="宋体" w:hAnsi="宋体" w:hint="eastAsia"/>
          <w:sz w:val="28"/>
          <w:szCs w:val="28"/>
        </w:rPr>
        <w:t>9</w:t>
      </w:r>
      <w:r w:rsidR="006E18B8" w:rsidRPr="000428B9">
        <w:rPr>
          <w:rFonts w:ascii="宋体" w:hAnsi="宋体" w:hint="eastAsia"/>
          <w:sz w:val="28"/>
          <w:szCs w:val="28"/>
        </w:rPr>
        <w:t>,</w:t>
      </w:r>
      <w:r w:rsidR="00FE281D" w:rsidRPr="000428B9">
        <w:rPr>
          <w:rFonts w:ascii="宋体" w:hAnsi="宋体" w:hint="eastAsia"/>
          <w:sz w:val="28"/>
          <w:szCs w:val="28"/>
        </w:rPr>
        <w:t>996万</w:t>
      </w:r>
      <w:r w:rsidRPr="000428B9">
        <w:rPr>
          <w:rFonts w:ascii="宋体" w:hAnsi="宋体" w:hint="eastAsia"/>
          <w:sz w:val="28"/>
          <w:szCs w:val="28"/>
        </w:rPr>
        <w:t>元</w:t>
      </w:r>
      <w:r w:rsidR="000428B9">
        <w:rPr>
          <w:rFonts w:ascii="宋体" w:hAnsi="宋体" w:hint="eastAsia"/>
          <w:sz w:val="28"/>
          <w:szCs w:val="28"/>
        </w:rPr>
        <w:t>及相应利息。</w:t>
      </w:r>
    </w:p>
    <w:p w:rsidR="00527E2C" w:rsidRDefault="00527E2C" w:rsidP="00527E2C">
      <w:pPr>
        <w:numPr>
          <w:ilvl w:val="0"/>
          <w:numId w:val="1"/>
        </w:numPr>
        <w:adjustRightInd w:val="0"/>
        <w:snapToGrid w:val="0"/>
        <w:spacing w:line="360" w:lineRule="auto"/>
        <w:ind w:leftChars="270" w:left="850" w:hangingChars="101" w:hanging="283"/>
        <w:rPr>
          <w:rFonts w:ascii="宋体"/>
          <w:sz w:val="28"/>
          <w:szCs w:val="28"/>
        </w:rPr>
      </w:pPr>
      <w:r w:rsidRPr="000428B9">
        <w:rPr>
          <w:rFonts w:ascii="宋体" w:hAnsi="宋体" w:hint="eastAsia"/>
          <w:sz w:val="28"/>
          <w:szCs w:val="28"/>
        </w:rPr>
        <w:t>是否会对上</w:t>
      </w:r>
      <w:r w:rsidRPr="00EF0620">
        <w:rPr>
          <w:rFonts w:ascii="宋体" w:hAnsi="宋体" w:hint="eastAsia"/>
          <w:sz w:val="28"/>
          <w:szCs w:val="28"/>
        </w:rPr>
        <w:t>市公司损益产生负面影响：</w:t>
      </w:r>
      <w:r>
        <w:rPr>
          <w:rFonts w:ascii="宋体" w:hAnsi="宋体" w:hint="eastAsia"/>
          <w:sz w:val="28"/>
          <w:szCs w:val="28"/>
        </w:rPr>
        <w:t>由于相关涉诉案件尚未</w:t>
      </w:r>
    </w:p>
    <w:p w:rsidR="00527E2C" w:rsidRDefault="00527E2C" w:rsidP="00527E2C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审结，尚无法判断相关诉讼事项对公司本期利润或期后利润的</w:t>
      </w:r>
      <w:r w:rsidRPr="008362F1">
        <w:rPr>
          <w:rFonts w:ascii="宋体" w:hAnsi="宋体" w:hint="eastAsia"/>
          <w:sz w:val="28"/>
          <w:szCs w:val="28"/>
        </w:rPr>
        <w:t>影响。</w:t>
      </w:r>
    </w:p>
    <w:p w:rsidR="00421301" w:rsidRDefault="00421301" w:rsidP="00527E2C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B5744E" w:rsidRDefault="00421301" w:rsidP="00B5744E">
      <w:pPr>
        <w:spacing w:line="56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</w:t>
      </w:r>
      <w:r w:rsidR="006E18B8">
        <w:rPr>
          <w:rFonts w:ascii="宋体" w:hAnsi="宋体" w:hint="eastAsia"/>
          <w:b/>
          <w:sz w:val="28"/>
          <w:szCs w:val="28"/>
        </w:rPr>
        <w:t>本次诉讼起诉的</w:t>
      </w:r>
      <w:r w:rsidR="00B5744E">
        <w:rPr>
          <w:rFonts w:ascii="宋体" w:hAnsi="宋体" w:hint="eastAsia"/>
          <w:b/>
          <w:sz w:val="28"/>
          <w:szCs w:val="28"/>
        </w:rPr>
        <w:t>基本情况</w:t>
      </w:r>
    </w:p>
    <w:p w:rsidR="00941A9A" w:rsidRPr="00D3763C" w:rsidRDefault="006E18B8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近日</w:t>
      </w:r>
      <w:r w:rsidR="00471DCF">
        <w:rPr>
          <w:rFonts w:ascii="宋体" w:hAnsi="宋体" w:hint="eastAsia"/>
          <w:sz w:val="28"/>
          <w:szCs w:val="28"/>
        </w:rPr>
        <w:t>，兖州煤业股份有限公司（“兖州煤业”、“公司”）收到山东省济宁市中级人民法院（“济宁中院”）送达的应诉通知书，</w:t>
      </w:r>
      <w:r w:rsidR="00471DCF" w:rsidRPr="00421301">
        <w:rPr>
          <w:rFonts w:ascii="宋体" w:hAnsi="宋体" w:hint="eastAsia"/>
          <w:sz w:val="28"/>
          <w:szCs w:val="28"/>
        </w:rPr>
        <w:t>鲁兴置业</w:t>
      </w:r>
      <w:r w:rsidR="00471DCF">
        <w:rPr>
          <w:rFonts w:ascii="宋体" w:hAnsi="宋体" w:hint="eastAsia"/>
          <w:sz w:val="28"/>
          <w:szCs w:val="28"/>
        </w:rPr>
        <w:t>有限公司（“鲁兴置业”）</w:t>
      </w:r>
      <w:r w:rsidR="00815EB2">
        <w:rPr>
          <w:rFonts w:ascii="宋体" w:hAnsi="宋体" w:hint="eastAsia"/>
          <w:sz w:val="28"/>
          <w:szCs w:val="28"/>
        </w:rPr>
        <w:t>以</w:t>
      </w:r>
      <w:r w:rsidR="00471DCF">
        <w:rPr>
          <w:rFonts w:ascii="宋体" w:hAnsi="宋体" w:hint="eastAsia"/>
          <w:sz w:val="28"/>
          <w:szCs w:val="28"/>
        </w:rPr>
        <w:t>追偿权</w:t>
      </w:r>
      <w:r w:rsidR="00471DCF" w:rsidRPr="00FF2808">
        <w:rPr>
          <w:rFonts w:ascii="宋体" w:hAnsi="宋体" w:hint="eastAsia"/>
          <w:sz w:val="28"/>
          <w:szCs w:val="28"/>
        </w:rPr>
        <w:t>纠纷为由，</w:t>
      </w:r>
      <w:r w:rsidR="00471DCF">
        <w:rPr>
          <w:rFonts w:ascii="宋体" w:hAnsi="宋体" w:hint="eastAsia"/>
          <w:sz w:val="28"/>
          <w:szCs w:val="28"/>
        </w:rPr>
        <w:t>将兖州煤业、</w:t>
      </w:r>
      <w:r>
        <w:rPr>
          <w:rFonts w:ascii="宋体" w:hAnsi="宋体" w:hint="eastAsia"/>
          <w:sz w:val="28"/>
          <w:szCs w:val="28"/>
        </w:rPr>
        <w:t>山东恒丰电力燃料有限公司（“恒丰公司”）</w:t>
      </w:r>
      <w:r w:rsidR="000428B9">
        <w:rPr>
          <w:rFonts w:ascii="宋体" w:hAnsi="宋体" w:hint="eastAsia"/>
          <w:sz w:val="28"/>
          <w:szCs w:val="28"/>
        </w:rPr>
        <w:t>等其他共9名被告</w:t>
      </w:r>
      <w:r w:rsidR="000428B9" w:rsidRPr="00FF2808">
        <w:rPr>
          <w:rFonts w:ascii="宋体" w:hAnsi="宋体" w:hint="eastAsia"/>
          <w:sz w:val="28"/>
          <w:szCs w:val="28"/>
        </w:rPr>
        <w:t>诉至济宁中院</w:t>
      </w:r>
      <w:r w:rsidR="00471DCF">
        <w:rPr>
          <w:rFonts w:ascii="宋体" w:hAnsi="宋体" w:hint="eastAsia"/>
          <w:sz w:val="28"/>
          <w:szCs w:val="28"/>
        </w:rPr>
        <w:t>，要求兖州煤业支付应收账款本金</w:t>
      </w:r>
      <w:r>
        <w:rPr>
          <w:rFonts w:ascii="宋体" w:hAnsi="宋体" w:hint="eastAsia"/>
          <w:sz w:val="28"/>
          <w:szCs w:val="28"/>
        </w:rPr>
        <w:t>人民币</w:t>
      </w:r>
      <w:r w:rsidR="00941A9A" w:rsidRPr="00D3763C">
        <w:rPr>
          <w:rFonts w:ascii="宋体" w:hAnsi="宋体"/>
          <w:sz w:val="28"/>
          <w:szCs w:val="28"/>
        </w:rPr>
        <w:t>9,996</w:t>
      </w:r>
      <w:r w:rsidR="00941A9A" w:rsidRPr="00D3763C">
        <w:rPr>
          <w:rFonts w:ascii="宋体" w:hAnsi="宋体" w:hint="eastAsia"/>
          <w:sz w:val="28"/>
          <w:szCs w:val="28"/>
        </w:rPr>
        <w:t>万元</w:t>
      </w:r>
      <w:r w:rsidR="00815EB2" w:rsidRPr="00D3763C">
        <w:rPr>
          <w:rFonts w:ascii="宋体" w:hAnsi="宋体" w:hint="eastAsia"/>
          <w:sz w:val="28"/>
          <w:szCs w:val="28"/>
        </w:rPr>
        <w:t>及</w:t>
      </w:r>
      <w:r w:rsidR="00C67299">
        <w:rPr>
          <w:rFonts w:ascii="宋体" w:hAnsi="宋体" w:hint="eastAsia"/>
          <w:sz w:val="28"/>
          <w:szCs w:val="28"/>
        </w:rPr>
        <w:t>相应</w:t>
      </w:r>
      <w:r w:rsidR="00815EB2" w:rsidRPr="00D3763C">
        <w:rPr>
          <w:rFonts w:ascii="宋体" w:hAnsi="宋体" w:hint="eastAsia"/>
          <w:sz w:val="28"/>
          <w:szCs w:val="28"/>
        </w:rPr>
        <w:t>利息，</w:t>
      </w:r>
      <w:r w:rsidRPr="00D3763C">
        <w:rPr>
          <w:rFonts w:ascii="宋体" w:hAnsi="宋体" w:hint="eastAsia"/>
          <w:sz w:val="28"/>
          <w:szCs w:val="28"/>
        </w:rPr>
        <w:t>恒丰公司承担上述债务的回购责任，</w:t>
      </w:r>
      <w:r w:rsidR="00815EB2" w:rsidRPr="00D3763C">
        <w:rPr>
          <w:rFonts w:ascii="宋体" w:hAnsi="宋体" w:hint="eastAsia"/>
          <w:sz w:val="28"/>
          <w:szCs w:val="28"/>
        </w:rPr>
        <w:t>其他被告</w:t>
      </w:r>
      <w:r w:rsidRPr="00D3763C">
        <w:rPr>
          <w:rFonts w:ascii="宋体" w:hAnsi="宋体" w:hint="eastAsia"/>
          <w:sz w:val="28"/>
          <w:szCs w:val="28"/>
        </w:rPr>
        <w:t>就恒丰公司债务</w:t>
      </w:r>
      <w:r w:rsidR="00815EB2" w:rsidRPr="00D3763C">
        <w:rPr>
          <w:rFonts w:ascii="宋体" w:hAnsi="宋体" w:hint="eastAsia"/>
          <w:sz w:val="28"/>
          <w:szCs w:val="28"/>
        </w:rPr>
        <w:t>承担</w:t>
      </w:r>
      <w:r w:rsidRPr="00D3763C">
        <w:rPr>
          <w:rFonts w:ascii="宋体" w:hAnsi="宋体" w:hint="eastAsia"/>
          <w:sz w:val="28"/>
          <w:szCs w:val="28"/>
        </w:rPr>
        <w:t>相应的</w:t>
      </w:r>
      <w:r w:rsidR="00471DCF" w:rsidRPr="00D3763C">
        <w:rPr>
          <w:rFonts w:ascii="宋体" w:hAnsi="宋体" w:hint="eastAsia"/>
          <w:sz w:val="28"/>
          <w:szCs w:val="28"/>
        </w:rPr>
        <w:t>连带清偿责任。</w:t>
      </w:r>
    </w:p>
    <w:p w:rsidR="00471DCF" w:rsidRPr="00D3763C" w:rsidRDefault="00471DCF" w:rsidP="00471DCF">
      <w:pPr>
        <w:spacing w:line="560" w:lineRule="exact"/>
        <w:ind w:firstLineChars="200" w:firstLine="562"/>
        <w:rPr>
          <w:rFonts w:ascii="宋体" w:hAnsi="宋体"/>
          <w:sz w:val="28"/>
          <w:szCs w:val="28"/>
        </w:rPr>
      </w:pPr>
      <w:r w:rsidRPr="00D3763C">
        <w:rPr>
          <w:rFonts w:ascii="宋体" w:hAnsi="宋体" w:hint="eastAsia"/>
          <w:b/>
          <w:sz w:val="28"/>
          <w:szCs w:val="28"/>
        </w:rPr>
        <w:t>二、</w:t>
      </w:r>
      <w:r w:rsidR="006E18B8" w:rsidRPr="00D3763C">
        <w:rPr>
          <w:rFonts w:ascii="宋体" w:hAnsi="宋体" w:hint="eastAsia"/>
          <w:b/>
          <w:sz w:val="28"/>
          <w:szCs w:val="28"/>
        </w:rPr>
        <w:t>本次诉讼的基本情况</w:t>
      </w:r>
    </w:p>
    <w:p w:rsidR="00593900" w:rsidRPr="00D3763C" w:rsidRDefault="006E18B8" w:rsidP="00593900">
      <w:pPr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D3763C">
        <w:rPr>
          <w:rFonts w:ascii="宋体" w:hAnsi="宋体" w:hint="eastAsia"/>
          <w:sz w:val="28"/>
          <w:szCs w:val="28"/>
        </w:rPr>
        <w:t>鲁兴置业诉称</w:t>
      </w:r>
      <w:r w:rsidR="00471DCF" w:rsidRPr="00D3763C">
        <w:rPr>
          <w:rFonts w:ascii="宋体" w:hAnsi="宋体" w:hint="eastAsia"/>
          <w:sz w:val="28"/>
          <w:szCs w:val="28"/>
        </w:rPr>
        <w:t>，</w:t>
      </w:r>
      <w:r w:rsidR="007325FF" w:rsidRPr="00D3763C">
        <w:rPr>
          <w:rFonts w:ascii="宋体" w:hAnsi="宋体" w:hint="eastAsia"/>
          <w:sz w:val="28"/>
          <w:szCs w:val="28"/>
        </w:rPr>
        <w:t>2015年2月</w:t>
      </w:r>
      <w:r w:rsidR="00815EB2" w:rsidRPr="00D3763C">
        <w:rPr>
          <w:rFonts w:ascii="宋体" w:hAnsi="宋体" w:hint="eastAsia"/>
          <w:sz w:val="28"/>
          <w:szCs w:val="28"/>
        </w:rPr>
        <w:t>恒丰公司</w:t>
      </w:r>
      <w:r w:rsidRPr="00D3763C">
        <w:rPr>
          <w:rFonts w:ascii="宋体" w:hAnsi="宋体" w:hint="eastAsia"/>
          <w:sz w:val="28"/>
          <w:szCs w:val="28"/>
        </w:rPr>
        <w:t>与莱商银行股份有限公司济宁分行（“莱商银行济宁分行”）签订了《国内保理业务合同》（“保理合同”），将其</w:t>
      </w:r>
      <w:r w:rsidR="00815EB2" w:rsidRPr="00D3763C">
        <w:rPr>
          <w:rFonts w:ascii="宋体" w:hAnsi="宋体" w:hint="eastAsia"/>
          <w:sz w:val="28"/>
          <w:szCs w:val="28"/>
        </w:rPr>
        <w:t>享有</w:t>
      </w:r>
      <w:r w:rsidRPr="00D3763C">
        <w:rPr>
          <w:rFonts w:ascii="宋体" w:hAnsi="宋体" w:hint="eastAsia"/>
          <w:sz w:val="28"/>
          <w:szCs w:val="28"/>
        </w:rPr>
        <w:t>的对兖州</w:t>
      </w:r>
      <w:r w:rsidR="000C5323">
        <w:rPr>
          <w:rFonts w:ascii="宋体" w:hAnsi="宋体" w:hint="eastAsia"/>
          <w:sz w:val="28"/>
          <w:szCs w:val="28"/>
        </w:rPr>
        <w:t>煤业</w:t>
      </w:r>
      <w:r w:rsidR="00815EB2" w:rsidRPr="00D3763C">
        <w:rPr>
          <w:rFonts w:ascii="宋体" w:hAnsi="宋体" w:hint="eastAsia"/>
          <w:sz w:val="28"/>
          <w:szCs w:val="28"/>
        </w:rPr>
        <w:t>的应收账款转让</w:t>
      </w:r>
      <w:r w:rsidRPr="00D3763C">
        <w:rPr>
          <w:rFonts w:ascii="宋体" w:hAnsi="宋体" w:hint="eastAsia"/>
          <w:sz w:val="28"/>
          <w:szCs w:val="28"/>
        </w:rPr>
        <w:t>给莱商银行济宁分行</w:t>
      </w:r>
      <w:r w:rsidR="007325FF" w:rsidRPr="00D3763C">
        <w:rPr>
          <w:rFonts w:ascii="宋体" w:hAnsi="宋体" w:hint="eastAsia"/>
          <w:sz w:val="28"/>
          <w:szCs w:val="28"/>
        </w:rPr>
        <w:t>，</w:t>
      </w:r>
      <w:r w:rsidR="007325FF" w:rsidRPr="00D3763C">
        <w:rPr>
          <w:rFonts w:ascii="宋体" w:hAnsi="宋体" w:hint="eastAsia"/>
          <w:sz w:val="28"/>
          <w:szCs w:val="28"/>
        </w:rPr>
        <w:lastRenderedPageBreak/>
        <w:t>上述保理合同到期后，恒丰公司并未向</w:t>
      </w:r>
      <w:r w:rsidR="00421301" w:rsidRPr="00D3763C">
        <w:rPr>
          <w:rFonts w:ascii="宋体" w:hAnsi="宋体" w:hint="eastAsia"/>
          <w:sz w:val="28"/>
          <w:szCs w:val="28"/>
        </w:rPr>
        <w:t>莱商银行济宁</w:t>
      </w:r>
      <w:r w:rsidR="00362DC9">
        <w:rPr>
          <w:rFonts w:ascii="宋体" w:hAnsi="宋体" w:hint="eastAsia"/>
          <w:sz w:val="28"/>
          <w:szCs w:val="28"/>
        </w:rPr>
        <w:t>分</w:t>
      </w:r>
      <w:r w:rsidR="00421301" w:rsidRPr="00D3763C">
        <w:rPr>
          <w:rFonts w:ascii="宋体" w:hAnsi="宋体" w:hint="eastAsia"/>
          <w:sz w:val="28"/>
          <w:szCs w:val="28"/>
        </w:rPr>
        <w:t>行履行回购义务。2016年</w:t>
      </w:r>
      <w:r w:rsidR="00593900" w:rsidRPr="00D3763C">
        <w:rPr>
          <w:rFonts w:ascii="宋体" w:hAnsi="宋体" w:hint="eastAsia"/>
          <w:sz w:val="28"/>
          <w:szCs w:val="28"/>
        </w:rPr>
        <w:t>12月</w:t>
      </w:r>
      <w:r w:rsidR="00421301" w:rsidRPr="00D3763C">
        <w:rPr>
          <w:rFonts w:ascii="宋体" w:hAnsi="宋体" w:hint="eastAsia"/>
          <w:sz w:val="28"/>
          <w:szCs w:val="28"/>
        </w:rPr>
        <w:t>，莱商银行</w:t>
      </w:r>
      <w:r w:rsidR="00F40074" w:rsidRPr="00D3763C">
        <w:rPr>
          <w:rFonts w:ascii="宋体" w:hAnsi="宋体" w:hint="eastAsia"/>
          <w:sz w:val="28"/>
          <w:szCs w:val="28"/>
        </w:rPr>
        <w:t>济宁</w:t>
      </w:r>
      <w:r w:rsidR="00EC69EF">
        <w:rPr>
          <w:rFonts w:ascii="宋体" w:hAnsi="宋体" w:hint="eastAsia"/>
          <w:sz w:val="28"/>
          <w:szCs w:val="28"/>
        </w:rPr>
        <w:t>分</w:t>
      </w:r>
      <w:r w:rsidR="00F40074" w:rsidRPr="00D3763C">
        <w:rPr>
          <w:rFonts w:ascii="宋体" w:hAnsi="宋体" w:hint="eastAsia"/>
          <w:sz w:val="28"/>
          <w:szCs w:val="28"/>
        </w:rPr>
        <w:t>行</w:t>
      </w:r>
      <w:r w:rsidR="00421301" w:rsidRPr="00D3763C">
        <w:rPr>
          <w:rFonts w:ascii="宋体" w:hAnsi="宋体" w:hint="eastAsia"/>
          <w:sz w:val="28"/>
          <w:szCs w:val="28"/>
        </w:rPr>
        <w:t>与</w:t>
      </w:r>
      <w:r w:rsidR="00471DCF" w:rsidRPr="00D3763C">
        <w:rPr>
          <w:rFonts w:ascii="宋体" w:hAnsi="宋体" w:hint="eastAsia"/>
          <w:sz w:val="28"/>
          <w:szCs w:val="28"/>
        </w:rPr>
        <w:t>鲁兴置业</w:t>
      </w:r>
      <w:r w:rsidR="00421301" w:rsidRPr="00D3763C">
        <w:rPr>
          <w:rFonts w:ascii="宋体" w:hAnsi="宋体" w:hint="eastAsia"/>
          <w:sz w:val="28"/>
          <w:szCs w:val="28"/>
        </w:rPr>
        <w:t>签订了《债权转让协议书》</w:t>
      </w:r>
      <w:r w:rsidR="00593900" w:rsidRPr="00D3763C">
        <w:rPr>
          <w:rFonts w:ascii="宋体" w:hAnsi="宋体" w:hint="eastAsia"/>
          <w:sz w:val="28"/>
          <w:szCs w:val="28"/>
        </w:rPr>
        <w:t>，</w:t>
      </w:r>
      <w:r w:rsidR="00421301" w:rsidRPr="00D3763C">
        <w:rPr>
          <w:rFonts w:ascii="宋体" w:hAnsi="宋体" w:hint="eastAsia"/>
          <w:sz w:val="28"/>
          <w:szCs w:val="28"/>
        </w:rPr>
        <w:t>将其享有的</w:t>
      </w:r>
      <w:r w:rsidR="00593900" w:rsidRPr="00D3763C">
        <w:rPr>
          <w:rFonts w:ascii="宋体" w:hAnsi="宋体" w:hint="eastAsia"/>
          <w:sz w:val="28"/>
          <w:szCs w:val="28"/>
        </w:rPr>
        <w:t>上述保理合同</w:t>
      </w:r>
      <w:r w:rsidR="00421301" w:rsidRPr="00D3763C">
        <w:rPr>
          <w:rFonts w:ascii="宋体" w:hAnsi="宋体" w:hint="eastAsia"/>
          <w:sz w:val="28"/>
          <w:szCs w:val="28"/>
        </w:rPr>
        <w:t>项下的全部债权</w:t>
      </w:r>
      <w:r w:rsidR="00593900" w:rsidRPr="00D3763C">
        <w:rPr>
          <w:rFonts w:ascii="宋体" w:hAnsi="宋体" w:hint="eastAsia"/>
          <w:sz w:val="28"/>
          <w:szCs w:val="28"/>
        </w:rPr>
        <w:t>本金及利息以及其他相应权利</w:t>
      </w:r>
      <w:r w:rsidR="00421301" w:rsidRPr="00D3763C">
        <w:rPr>
          <w:rFonts w:ascii="宋体" w:hAnsi="宋体" w:hint="eastAsia"/>
          <w:sz w:val="28"/>
          <w:szCs w:val="28"/>
        </w:rPr>
        <w:t>转让给了鲁兴置业。</w:t>
      </w:r>
      <w:r w:rsidR="00593900" w:rsidRPr="00D3763C">
        <w:rPr>
          <w:rFonts w:ascii="宋体" w:hAnsi="宋体" w:hint="eastAsia"/>
          <w:sz w:val="28"/>
          <w:szCs w:val="28"/>
        </w:rPr>
        <w:t>2017年7月鲁兴置业向济宁中院提起诉讼。</w:t>
      </w:r>
    </w:p>
    <w:p w:rsidR="00941A9A" w:rsidRDefault="00203E99">
      <w:pPr>
        <w:spacing w:line="560" w:lineRule="exact"/>
        <w:ind w:firstLineChars="200" w:firstLine="56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经</w:t>
      </w:r>
      <w:r w:rsidR="00253B0C" w:rsidRPr="00D3763C">
        <w:rPr>
          <w:rFonts w:ascii="宋体" w:hAnsi="宋体" w:hint="eastAsia"/>
          <w:sz w:val="28"/>
          <w:szCs w:val="28"/>
        </w:rPr>
        <w:t>调查核实，</w:t>
      </w:r>
      <w:r>
        <w:rPr>
          <w:rFonts w:ascii="宋体" w:hAnsi="宋体" w:hint="eastAsia"/>
          <w:sz w:val="28"/>
          <w:szCs w:val="28"/>
        </w:rPr>
        <w:t>公司并</w:t>
      </w:r>
      <w:r w:rsidR="00593900" w:rsidRPr="00D3763C">
        <w:rPr>
          <w:rFonts w:ascii="宋体" w:hAnsi="宋体" w:hint="eastAsia"/>
          <w:sz w:val="28"/>
          <w:szCs w:val="28"/>
        </w:rPr>
        <w:t>不存在</w:t>
      </w:r>
      <w:r w:rsidR="00D97187" w:rsidRPr="00D3763C">
        <w:rPr>
          <w:rFonts w:ascii="宋体" w:hAnsi="宋体" w:hint="eastAsia"/>
          <w:sz w:val="28"/>
          <w:szCs w:val="28"/>
        </w:rPr>
        <w:t>对</w:t>
      </w:r>
      <w:r w:rsidR="00421301" w:rsidRPr="00D3763C">
        <w:rPr>
          <w:rFonts w:ascii="宋体" w:hAnsi="宋体" w:hint="eastAsia"/>
          <w:sz w:val="28"/>
          <w:szCs w:val="28"/>
        </w:rPr>
        <w:t>恒丰</w:t>
      </w:r>
      <w:r w:rsidR="00593900" w:rsidRPr="00D3763C">
        <w:rPr>
          <w:rFonts w:ascii="宋体" w:hAnsi="宋体" w:hint="eastAsia"/>
          <w:sz w:val="28"/>
          <w:szCs w:val="28"/>
        </w:rPr>
        <w:t>公司的</w:t>
      </w:r>
      <w:r w:rsidR="00D97187" w:rsidRPr="00D3763C">
        <w:rPr>
          <w:rFonts w:ascii="宋体" w:hAnsi="宋体" w:hint="eastAsia"/>
          <w:sz w:val="28"/>
          <w:szCs w:val="28"/>
        </w:rPr>
        <w:t>应付</w:t>
      </w:r>
      <w:r w:rsidR="00421301" w:rsidRPr="00D3763C">
        <w:rPr>
          <w:rFonts w:ascii="宋体" w:hAnsi="宋体" w:hint="eastAsia"/>
          <w:sz w:val="28"/>
          <w:szCs w:val="28"/>
        </w:rPr>
        <w:t>账款</w:t>
      </w:r>
      <w:r w:rsidR="00983C2E">
        <w:rPr>
          <w:rFonts w:ascii="宋体" w:hAnsi="宋体" w:hint="eastAsia"/>
          <w:sz w:val="28"/>
          <w:szCs w:val="28"/>
        </w:rPr>
        <w:t>,</w:t>
      </w:r>
      <w:r w:rsidR="00420A79">
        <w:rPr>
          <w:rFonts w:ascii="宋体" w:hAnsi="宋体" w:hint="eastAsia"/>
          <w:sz w:val="28"/>
          <w:szCs w:val="28"/>
        </w:rPr>
        <w:t>公司认为</w:t>
      </w:r>
      <w:r w:rsidR="00820DE2" w:rsidRPr="00D3763C">
        <w:rPr>
          <w:rFonts w:ascii="宋体" w:hAnsi="宋体" w:hint="eastAsia"/>
          <w:sz w:val="28"/>
          <w:szCs w:val="28"/>
        </w:rPr>
        <w:t>恒丰公司涉嫌伪造兖州煤业公司印章，虚构对兖州煤业的应收账款，</w:t>
      </w:r>
      <w:r w:rsidR="00253B0C" w:rsidRPr="00D3763C">
        <w:rPr>
          <w:rFonts w:ascii="宋体" w:hAnsi="宋体" w:hint="eastAsia"/>
          <w:sz w:val="28"/>
          <w:szCs w:val="28"/>
        </w:rPr>
        <w:t>在</w:t>
      </w:r>
      <w:r w:rsidR="00593900" w:rsidRPr="00D3763C">
        <w:rPr>
          <w:rFonts w:ascii="宋体" w:hAnsi="宋体" w:hint="eastAsia"/>
          <w:sz w:val="28"/>
          <w:szCs w:val="28"/>
        </w:rPr>
        <w:t>相关</w:t>
      </w:r>
      <w:r w:rsidR="00253B0C" w:rsidRPr="00D3763C">
        <w:rPr>
          <w:rFonts w:ascii="宋体" w:hAnsi="宋体" w:hint="eastAsia"/>
          <w:sz w:val="28"/>
          <w:szCs w:val="28"/>
        </w:rPr>
        <w:t>金融机构办理</w:t>
      </w:r>
      <w:r w:rsidR="00421301" w:rsidRPr="00D3763C">
        <w:rPr>
          <w:rFonts w:ascii="宋体" w:hAnsi="宋体" w:hint="eastAsia"/>
          <w:sz w:val="28"/>
          <w:szCs w:val="28"/>
        </w:rPr>
        <w:t>保理业务</w:t>
      </w:r>
      <w:r w:rsidR="008B6AFA" w:rsidRPr="00D3763C">
        <w:rPr>
          <w:rFonts w:ascii="宋体" w:hAnsi="宋体" w:hint="eastAsia"/>
          <w:sz w:val="28"/>
          <w:szCs w:val="28"/>
        </w:rPr>
        <w:t>。</w:t>
      </w:r>
      <w:r w:rsidR="00820DE2" w:rsidRPr="00D3763C">
        <w:rPr>
          <w:rFonts w:ascii="宋体" w:hAnsi="宋体" w:hint="eastAsia"/>
          <w:sz w:val="28"/>
          <w:szCs w:val="28"/>
        </w:rPr>
        <w:t>兖州煤业将积极应诉，并保留采取</w:t>
      </w:r>
      <w:r w:rsidR="00593900" w:rsidRPr="00D3763C">
        <w:rPr>
          <w:rFonts w:ascii="宋体" w:hAnsi="宋体" w:hint="eastAsia"/>
          <w:sz w:val="28"/>
          <w:szCs w:val="28"/>
        </w:rPr>
        <w:t>进</w:t>
      </w:r>
      <w:r w:rsidR="00593900" w:rsidRPr="00593900">
        <w:rPr>
          <w:rFonts w:ascii="宋体" w:hAnsi="宋体" w:hint="eastAsia"/>
          <w:sz w:val="28"/>
          <w:szCs w:val="28"/>
        </w:rPr>
        <w:t>一步</w:t>
      </w:r>
      <w:r w:rsidR="00820DE2" w:rsidRPr="00820DE2">
        <w:rPr>
          <w:rFonts w:ascii="宋体" w:hAnsi="宋体" w:hint="eastAsia"/>
          <w:sz w:val="28"/>
          <w:szCs w:val="28"/>
        </w:rPr>
        <w:t>法律措施的权利，积极维护公司</w:t>
      </w:r>
      <w:r w:rsidR="00593900">
        <w:rPr>
          <w:rFonts w:ascii="宋体" w:hAnsi="宋体" w:hint="eastAsia"/>
          <w:sz w:val="28"/>
          <w:szCs w:val="28"/>
        </w:rPr>
        <w:t>的</w:t>
      </w:r>
      <w:r w:rsidR="00820DE2" w:rsidRPr="00820DE2">
        <w:rPr>
          <w:rFonts w:ascii="宋体" w:hAnsi="宋体" w:hint="eastAsia"/>
          <w:sz w:val="28"/>
          <w:szCs w:val="28"/>
        </w:rPr>
        <w:t>合法权益。</w:t>
      </w:r>
    </w:p>
    <w:p w:rsidR="00527E2C" w:rsidRDefault="004903A2" w:rsidP="00527E2C">
      <w:pPr>
        <w:spacing w:line="56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="00BC5739">
        <w:rPr>
          <w:rFonts w:ascii="宋体" w:hAnsi="宋体" w:hint="eastAsia"/>
          <w:b/>
          <w:sz w:val="28"/>
          <w:szCs w:val="28"/>
        </w:rPr>
        <w:t>、</w:t>
      </w:r>
      <w:r w:rsidR="00527E2C" w:rsidRPr="00F149A5">
        <w:rPr>
          <w:rFonts w:ascii="宋体" w:hAnsi="宋体" w:hint="eastAsia"/>
          <w:b/>
          <w:sz w:val="28"/>
          <w:szCs w:val="28"/>
        </w:rPr>
        <w:t>诉讼判决情况</w:t>
      </w:r>
    </w:p>
    <w:p w:rsidR="00527E2C" w:rsidRDefault="00527E2C" w:rsidP="00527E2C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以上案件正在一审审理程序中，尚未开庭审理。</w:t>
      </w:r>
    </w:p>
    <w:p w:rsidR="00527E2C" w:rsidRDefault="004903A2" w:rsidP="00527E2C">
      <w:pPr>
        <w:spacing w:line="560" w:lineRule="exact"/>
        <w:ind w:firstLineChars="200" w:firstLine="562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BC5739">
        <w:rPr>
          <w:rFonts w:ascii="宋体" w:hAnsi="宋体" w:hint="eastAsia"/>
          <w:b/>
          <w:sz w:val="28"/>
          <w:szCs w:val="28"/>
        </w:rPr>
        <w:t>、</w:t>
      </w:r>
      <w:r w:rsidR="00527E2C" w:rsidRPr="00F149A5">
        <w:rPr>
          <w:rFonts w:ascii="宋体" w:hAnsi="宋体" w:hint="eastAsia"/>
          <w:b/>
          <w:sz w:val="28"/>
          <w:szCs w:val="28"/>
        </w:rPr>
        <w:t>本次诉讼事项对公司本期利润或期后利润的影响</w:t>
      </w:r>
    </w:p>
    <w:p w:rsidR="00E06AD1" w:rsidRPr="001E5D6D" w:rsidRDefault="00527E2C" w:rsidP="001E5D6D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AC642F">
        <w:rPr>
          <w:rFonts w:ascii="宋体" w:hAnsi="宋体" w:hint="eastAsia"/>
          <w:sz w:val="28"/>
          <w:szCs w:val="28"/>
        </w:rPr>
        <w:t>由于</w:t>
      </w:r>
      <w:r>
        <w:rPr>
          <w:rFonts w:ascii="宋体" w:hAnsi="宋体" w:hint="eastAsia"/>
          <w:sz w:val="28"/>
          <w:szCs w:val="28"/>
        </w:rPr>
        <w:t>以上案件</w:t>
      </w:r>
      <w:r w:rsidRPr="00AC642F">
        <w:rPr>
          <w:rFonts w:ascii="宋体" w:hAnsi="宋体" w:hint="eastAsia"/>
          <w:sz w:val="28"/>
          <w:szCs w:val="28"/>
        </w:rPr>
        <w:t>尚未</w:t>
      </w:r>
      <w:r>
        <w:rPr>
          <w:rFonts w:ascii="宋体" w:hAnsi="宋体" w:hint="eastAsia"/>
          <w:sz w:val="28"/>
          <w:szCs w:val="28"/>
        </w:rPr>
        <w:t>审结，尚无法判断以上诉讼</w:t>
      </w:r>
      <w:r w:rsidRPr="00AC642F">
        <w:rPr>
          <w:rFonts w:ascii="宋体" w:hAnsi="宋体" w:hint="eastAsia"/>
          <w:sz w:val="28"/>
          <w:szCs w:val="28"/>
        </w:rPr>
        <w:t>事项对公司本期利润或期后利润的影响。</w:t>
      </w:r>
    </w:p>
    <w:p w:rsidR="00E06AD1" w:rsidRDefault="00E06AD1" w:rsidP="00E06AD1">
      <w:pPr>
        <w:spacing w:line="56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公司将根据上述案件进展情况，及时履行信息披露义务。</w:t>
      </w:r>
    </w:p>
    <w:p w:rsidR="00593900" w:rsidRDefault="00593900" w:rsidP="00E06AD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E06AD1" w:rsidRDefault="00E06AD1" w:rsidP="00E06AD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433677">
        <w:rPr>
          <w:rFonts w:ascii="宋体" w:hAnsi="宋体" w:hint="eastAsia"/>
          <w:sz w:val="28"/>
          <w:szCs w:val="28"/>
        </w:rPr>
        <w:t>特此公告。</w:t>
      </w:r>
    </w:p>
    <w:p w:rsidR="00E06AD1" w:rsidRDefault="00E06AD1" w:rsidP="00E06AD1">
      <w:pPr>
        <w:spacing w:line="560" w:lineRule="exact"/>
        <w:ind w:firstLineChars="200" w:firstLine="560"/>
        <w:rPr>
          <w:rFonts w:ascii="宋体"/>
          <w:sz w:val="28"/>
          <w:szCs w:val="28"/>
        </w:rPr>
      </w:pPr>
    </w:p>
    <w:p w:rsidR="00E06AD1" w:rsidRDefault="00E06AD1" w:rsidP="00E06AD1">
      <w:pPr>
        <w:tabs>
          <w:tab w:val="left" w:pos="495"/>
        </w:tabs>
        <w:spacing w:line="560" w:lineRule="exact"/>
        <w:jc w:val="left"/>
        <w:rPr>
          <w:rFonts w:ascii="宋体"/>
          <w:sz w:val="28"/>
          <w:szCs w:val="28"/>
        </w:rPr>
      </w:pPr>
    </w:p>
    <w:p w:rsidR="00E06AD1" w:rsidRPr="00433677" w:rsidRDefault="00E06AD1" w:rsidP="00E06AD1">
      <w:pPr>
        <w:tabs>
          <w:tab w:val="left" w:pos="645"/>
        </w:tabs>
        <w:spacing w:line="560" w:lineRule="exact"/>
        <w:ind w:right="420"/>
        <w:jc w:val="right"/>
        <w:rPr>
          <w:rFonts w:ascii="宋体"/>
          <w:sz w:val="28"/>
          <w:szCs w:val="28"/>
        </w:rPr>
      </w:pPr>
      <w:r w:rsidRPr="00433677">
        <w:rPr>
          <w:rFonts w:ascii="宋体" w:hAnsi="宋体" w:hint="eastAsia"/>
          <w:sz w:val="28"/>
          <w:szCs w:val="28"/>
        </w:rPr>
        <w:t>兖州煤业股份有限公司董事会</w:t>
      </w:r>
      <w:r w:rsidRPr="00433677">
        <w:rPr>
          <w:rFonts w:ascii="宋体" w:hAnsi="宋体"/>
          <w:sz w:val="28"/>
          <w:szCs w:val="28"/>
        </w:rPr>
        <w:t xml:space="preserve">         </w:t>
      </w:r>
    </w:p>
    <w:p w:rsidR="00E06AD1" w:rsidRPr="00433677" w:rsidRDefault="00E06AD1" w:rsidP="00E06AD1">
      <w:pPr>
        <w:tabs>
          <w:tab w:val="left" w:pos="5045"/>
        </w:tabs>
        <w:spacing w:line="560" w:lineRule="exact"/>
        <w:rPr>
          <w:rFonts w:ascii="宋体"/>
          <w:sz w:val="28"/>
          <w:szCs w:val="28"/>
        </w:rPr>
      </w:pPr>
      <w:r w:rsidRPr="00433677"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433677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8</w:t>
      </w:r>
      <w:r w:rsidRPr="00433677">
        <w:rPr>
          <w:rFonts w:ascii="宋体" w:hAnsi="宋体" w:hint="eastAsia"/>
          <w:sz w:val="28"/>
          <w:szCs w:val="28"/>
        </w:rPr>
        <w:t>月</w:t>
      </w:r>
      <w:r w:rsidR="000428B9">
        <w:rPr>
          <w:rFonts w:ascii="宋体" w:hAnsi="宋体" w:hint="eastAsia"/>
          <w:sz w:val="28"/>
          <w:szCs w:val="28"/>
        </w:rPr>
        <w:t>11</w:t>
      </w:r>
      <w:r w:rsidRPr="00433677">
        <w:rPr>
          <w:rFonts w:ascii="宋体" w:hAnsi="宋体" w:hint="eastAsia"/>
          <w:sz w:val="28"/>
          <w:szCs w:val="28"/>
        </w:rPr>
        <w:t>日</w:t>
      </w:r>
    </w:p>
    <w:p w:rsidR="007B2097" w:rsidRPr="00527E2C" w:rsidRDefault="007B2097" w:rsidP="0094651D">
      <w:pPr>
        <w:pStyle w:val="a3"/>
        <w:rPr>
          <w:rFonts w:hAnsi="宋体" w:cs="宋体"/>
        </w:rPr>
      </w:pPr>
    </w:p>
    <w:sectPr w:rsidR="007B2097" w:rsidRPr="00527E2C" w:rsidSect="0094651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3B" w:rsidRDefault="00D5183B" w:rsidP="00253B0C">
      <w:r>
        <w:separator/>
      </w:r>
    </w:p>
  </w:endnote>
  <w:endnote w:type="continuationSeparator" w:id="0">
    <w:p w:rsidR="00D5183B" w:rsidRDefault="00D5183B" w:rsidP="0025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3B" w:rsidRDefault="00D5183B" w:rsidP="00253B0C">
      <w:r>
        <w:separator/>
      </w:r>
    </w:p>
  </w:footnote>
  <w:footnote w:type="continuationSeparator" w:id="0">
    <w:p w:rsidR="00D5183B" w:rsidRDefault="00D5183B" w:rsidP="0025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1DCA"/>
    <w:multiLevelType w:val="hybridMultilevel"/>
    <w:tmpl w:val="2604E44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EBA"/>
    <w:rsid w:val="00007731"/>
    <w:rsid w:val="00012E9C"/>
    <w:rsid w:val="0001594D"/>
    <w:rsid w:val="00015ED4"/>
    <w:rsid w:val="00031907"/>
    <w:rsid w:val="0003474E"/>
    <w:rsid w:val="000428B9"/>
    <w:rsid w:val="00045EA3"/>
    <w:rsid w:val="00053724"/>
    <w:rsid w:val="00090D79"/>
    <w:rsid w:val="000C5323"/>
    <w:rsid w:val="000D2201"/>
    <w:rsid w:val="000D5C21"/>
    <w:rsid w:val="0013625A"/>
    <w:rsid w:val="00152ADD"/>
    <w:rsid w:val="0019263D"/>
    <w:rsid w:val="001B7132"/>
    <w:rsid w:val="001E5D6D"/>
    <w:rsid w:val="002029EB"/>
    <w:rsid w:val="00203E99"/>
    <w:rsid w:val="00253B0C"/>
    <w:rsid w:val="00261F8C"/>
    <w:rsid w:val="002932AD"/>
    <w:rsid w:val="002C4367"/>
    <w:rsid w:val="003336A6"/>
    <w:rsid w:val="00362DC9"/>
    <w:rsid w:val="00373D96"/>
    <w:rsid w:val="00393D76"/>
    <w:rsid w:val="003B4781"/>
    <w:rsid w:val="003F20BE"/>
    <w:rsid w:val="003F5D76"/>
    <w:rsid w:val="003F6AA4"/>
    <w:rsid w:val="004114AC"/>
    <w:rsid w:val="00420A79"/>
    <w:rsid w:val="00421301"/>
    <w:rsid w:val="00426A0B"/>
    <w:rsid w:val="00431E78"/>
    <w:rsid w:val="004640ED"/>
    <w:rsid w:val="00471DCF"/>
    <w:rsid w:val="004903A2"/>
    <w:rsid w:val="004A0AF9"/>
    <w:rsid w:val="004A106D"/>
    <w:rsid w:val="004A3FBD"/>
    <w:rsid w:val="004A4D6C"/>
    <w:rsid w:val="004C05BD"/>
    <w:rsid w:val="004D1EBD"/>
    <w:rsid w:val="0050180A"/>
    <w:rsid w:val="00527E2C"/>
    <w:rsid w:val="00532EDB"/>
    <w:rsid w:val="0054585F"/>
    <w:rsid w:val="00563624"/>
    <w:rsid w:val="00591EAC"/>
    <w:rsid w:val="00593900"/>
    <w:rsid w:val="005A0656"/>
    <w:rsid w:val="005A3317"/>
    <w:rsid w:val="005B5781"/>
    <w:rsid w:val="005D34BE"/>
    <w:rsid w:val="005F3470"/>
    <w:rsid w:val="005F40AD"/>
    <w:rsid w:val="006244B2"/>
    <w:rsid w:val="00624511"/>
    <w:rsid w:val="006750FD"/>
    <w:rsid w:val="00680D36"/>
    <w:rsid w:val="00681D9E"/>
    <w:rsid w:val="00692B9F"/>
    <w:rsid w:val="00695BD3"/>
    <w:rsid w:val="006A7458"/>
    <w:rsid w:val="006B7DF7"/>
    <w:rsid w:val="006E18B8"/>
    <w:rsid w:val="006F5204"/>
    <w:rsid w:val="0070054E"/>
    <w:rsid w:val="00726B18"/>
    <w:rsid w:val="007325FF"/>
    <w:rsid w:val="0073300F"/>
    <w:rsid w:val="007359F7"/>
    <w:rsid w:val="00742D0A"/>
    <w:rsid w:val="00743BC4"/>
    <w:rsid w:val="007559D4"/>
    <w:rsid w:val="007825A6"/>
    <w:rsid w:val="007A139D"/>
    <w:rsid w:val="007B19A8"/>
    <w:rsid w:val="007B2097"/>
    <w:rsid w:val="007B7298"/>
    <w:rsid w:val="007D5D89"/>
    <w:rsid w:val="00815EB2"/>
    <w:rsid w:val="00820DE2"/>
    <w:rsid w:val="0083791E"/>
    <w:rsid w:val="00847E5B"/>
    <w:rsid w:val="008B580D"/>
    <w:rsid w:val="008B6AFA"/>
    <w:rsid w:val="00900D76"/>
    <w:rsid w:val="009222CA"/>
    <w:rsid w:val="00941A9A"/>
    <w:rsid w:val="0094651D"/>
    <w:rsid w:val="00972724"/>
    <w:rsid w:val="00983C2E"/>
    <w:rsid w:val="009A03A1"/>
    <w:rsid w:val="009C3430"/>
    <w:rsid w:val="009E4D2E"/>
    <w:rsid w:val="00A11B88"/>
    <w:rsid w:val="00A13FDB"/>
    <w:rsid w:val="00A617FF"/>
    <w:rsid w:val="00A71451"/>
    <w:rsid w:val="00A7439D"/>
    <w:rsid w:val="00A95D3F"/>
    <w:rsid w:val="00A96BAA"/>
    <w:rsid w:val="00AA1DFD"/>
    <w:rsid w:val="00B13474"/>
    <w:rsid w:val="00B341B7"/>
    <w:rsid w:val="00B51B29"/>
    <w:rsid w:val="00B5744E"/>
    <w:rsid w:val="00B638F6"/>
    <w:rsid w:val="00BC5739"/>
    <w:rsid w:val="00BF60C9"/>
    <w:rsid w:val="00C06322"/>
    <w:rsid w:val="00C11F4C"/>
    <w:rsid w:val="00C1253E"/>
    <w:rsid w:val="00C135E5"/>
    <w:rsid w:val="00C43890"/>
    <w:rsid w:val="00C67299"/>
    <w:rsid w:val="00CB2C1E"/>
    <w:rsid w:val="00CE16E0"/>
    <w:rsid w:val="00CF1BD6"/>
    <w:rsid w:val="00D3763C"/>
    <w:rsid w:val="00D45843"/>
    <w:rsid w:val="00D5183B"/>
    <w:rsid w:val="00D97187"/>
    <w:rsid w:val="00DB1166"/>
    <w:rsid w:val="00DC125F"/>
    <w:rsid w:val="00DD0FC9"/>
    <w:rsid w:val="00E00E32"/>
    <w:rsid w:val="00E06AD1"/>
    <w:rsid w:val="00E3535F"/>
    <w:rsid w:val="00E52432"/>
    <w:rsid w:val="00E80F50"/>
    <w:rsid w:val="00EC69EF"/>
    <w:rsid w:val="00EE13D2"/>
    <w:rsid w:val="00EF1EBA"/>
    <w:rsid w:val="00EF1FB8"/>
    <w:rsid w:val="00F31339"/>
    <w:rsid w:val="00F40074"/>
    <w:rsid w:val="00F4653F"/>
    <w:rsid w:val="00F60316"/>
    <w:rsid w:val="00F66781"/>
    <w:rsid w:val="00F7759A"/>
    <w:rsid w:val="00F81802"/>
    <w:rsid w:val="00FB660E"/>
    <w:rsid w:val="00FC1260"/>
    <w:rsid w:val="00FE281D"/>
    <w:rsid w:val="00FE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94651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4651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25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3B0C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3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3B0C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0054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005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1DA36F-FDF1-40AE-8CA4-58D96F11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郑芳宏</cp:lastModifiedBy>
  <cp:revision>26</cp:revision>
  <cp:lastPrinted>2017-08-11T08:55:00Z</cp:lastPrinted>
  <dcterms:created xsi:type="dcterms:W3CDTF">2017-08-09T09:19:00Z</dcterms:created>
  <dcterms:modified xsi:type="dcterms:W3CDTF">2017-08-11T09:14:00Z</dcterms:modified>
</cp:coreProperties>
</file>